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D7DC1">
      <w:pPr>
        <w:rPr>
          <w:rFonts w:eastAsia="仿宋_GB2312"/>
          <w:sz w:val="30"/>
        </w:rPr>
      </w:pPr>
    </w:p>
    <w:p w14:paraId="2A6F3B9F">
      <w:pPr>
        <w:spacing w:line="360" w:lineRule="auto"/>
        <w:jc w:val="center"/>
        <w:rPr>
          <w:rFonts w:ascii="黑体" w:hAnsi="黑体" w:eastAsia="黑体"/>
          <w:sz w:val="32"/>
          <w:szCs w:val="32"/>
        </w:rPr>
      </w:pPr>
      <w:r>
        <w:rPr>
          <w:rFonts w:hint="eastAsia" w:ascii="黑体" w:hAnsi="黑体" w:eastAsia="黑体"/>
          <w:sz w:val="32"/>
          <w:szCs w:val="32"/>
        </w:rPr>
        <w:t>苏州市市级预算部门（单位）整体支出预算绩效自评报告</w:t>
      </w:r>
    </w:p>
    <w:p w14:paraId="4A05E983">
      <w:pPr>
        <w:spacing w:line="360" w:lineRule="auto"/>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bookmarkStart w:id="0" w:name="_GoBack"/>
      <w:bookmarkEnd w:id="0"/>
      <w:r>
        <w:rPr>
          <w:rFonts w:hint="eastAsia" w:ascii="黑体" w:eastAsia="黑体"/>
          <w:sz w:val="32"/>
          <w:szCs w:val="32"/>
        </w:rPr>
        <w:t>年度）</w:t>
      </w:r>
    </w:p>
    <w:p w14:paraId="2D0D461F">
      <w:pPr>
        <w:spacing w:line="360" w:lineRule="auto"/>
        <w:jc w:val="center"/>
        <w:rPr>
          <w:rFonts w:eastAsia="仿宋_GB2312"/>
          <w:sz w:val="30"/>
        </w:rPr>
      </w:pPr>
    </w:p>
    <w:p w14:paraId="0B85D768">
      <w:pPr>
        <w:spacing w:line="360" w:lineRule="auto"/>
        <w:ind w:firstLine="600" w:firstLineChars="200"/>
        <w:rPr>
          <w:rFonts w:ascii="黑体" w:hAnsi="黑体" w:eastAsia="黑体"/>
          <w:sz w:val="30"/>
        </w:rPr>
      </w:pPr>
      <w:r>
        <w:rPr>
          <w:rFonts w:hint="eastAsia" w:ascii="黑体" w:hAnsi="黑体" w:eastAsia="黑体"/>
          <w:sz w:val="30"/>
        </w:rPr>
        <w:t>一、预算部门名称：</w:t>
      </w:r>
      <w:r>
        <w:rPr>
          <w:rFonts w:hint="eastAsia" w:ascii="宋体" w:hAnsi="宋体" w:cs="宋体"/>
          <w:sz w:val="24"/>
        </w:rPr>
        <w:t>苏州市红十字会</w:t>
      </w:r>
    </w:p>
    <w:p w14:paraId="58F772EF">
      <w:pPr>
        <w:spacing w:line="360" w:lineRule="auto"/>
        <w:ind w:firstLine="600" w:firstLineChars="200"/>
        <w:rPr>
          <w:rFonts w:ascii="黑体" w:hAnsi="黑体" w:eastAsia="黑体"/>
          <w:sz w:val="30"/>
        </w:rPr>
      </w:pPr>
      <w:r>
        <w:rPr>
          <w:rFonts w:hint="eastAsia" w:ascii="黑体" w:hAnsi="黑体" w:eastAsia="黑体"/>
          <w:sz w:val="30"/>
        </w:rPr>
        <w:t>二、</w:t>
      </w:r>
      <w:r>
        <w:rPr>
          <w:rFonts w:ascii="黑体" w:hAnsi="黑体" w:eastAsia="黑体"/>
          <w:sz w:val="30"/>
        </w:rPr>
        <w:t>年度履职目标完成情况</w:t>
      </w:r>
      <w:r>
        <w:rPr>
          <w:rFonts w:hint="eastAsia" w:ascii="黑体" w:hAnsi="黑体" w:eastAsia="黑体"/>
          <w:sz w:val="30"/>
        </w:rPr>
        <w:t>：</w:t>
      </w:r>
    </w:p>
    <w:p w14:paraId="612F7DFF">
      <w:pPr>
        <w:spacing w:line="360" w:lineRule="auto"/>
        <w:ind w:firstLine="480" w:firstLineChars="200"/>
        <w:rPr>
          <w:rFonts w:ascii="宋体" w:hAnsi="宋体" w:cs="宋体"/>
          <w:sz w:val="24"/>
        </w:rPr>
      </w:pPr>
      <w:r>
        <w:rPr>
          <w:rFonts w:hint="eastAsia" w:ascii="宋体" w:hAnsi="宋体" w:cs="宋体"/>
          <w:sz w:val="24"/>
        </w:rPr>
        <w:t>2024年以来，市红十字会坚持以习近平新时代中国特色社会主义思想为指导，深入学习贯彻党的二十大和二十届三中全会精神，认真学习贯彻习近平总书记重要致信精神，紧紧围绕市委市政府中心工作，锐意进取，敢闯敢为，扎实开展党纪学习教育，持续提升人道服务能力，为中国式现代化苏州新实践贡献红十字力量。（一）以政治建设为统领，全面从严治党纵深推进始终把政治建设摆在首位，深入学习贯彻党的二十届三中全会精神，进一步增强纪律意识、提高党性修养、提升执纪能力，不断夯实坚定拥护“两个确立”、坚决做到“两个维护”的思想根基。一是理论学习走深走实。落实好“第一议题”制度，坚持把学习贯彻习近平新时代中国特色社会主义思想作为首要政治任务，以党组理论学习中心组为示范引领，开展集体学习12次，及时跟进学习党的创新理论和习近平总书记最新重要讲话精神。用好“红会讲堂”，不断提高学习实效，推动理论学习融入日常，抓在经常。联学共建不断拓展，联合苏州大学文学院开展“种书计划”志愿服务项目，联合一〇〇医院建立红十字“背包医生”志愿服务队。通过参观见学、观看影秀剧等沉浸式主题实践活动，使党员干部感悟家国情怀、坚定理想信念。组织党员干部培训2期，赴河南林州、安徽金寨、江西南昌等地开展学习培训。联合市供销社机关党支部撰写的“关键小事”调研报告，获评市级机关二等奖。二是党纪学习教育入脑入心。扎实开展党纪学习教育，推动党员干部进一步强化纪律意识、加强自我约束、提高免疫能力。制定党纪学习教育方案，通过中心组学习、党纪学习教育专题读书班、“三会一课”、主题党日等形式，推动党纪学习入脑入心。开展专题读书班2期，党组中心组专题学习3次，观看警示教育片1部，开展书记讲党课1次，举行现场警示教育及授课培训4期，进一步筑牢“不敢腐、不能腐、不想腐”的思想防线。三是全面从严治党深入推进。深化作风建设，扎实部署开展群众身边不正之风和腐败问题集中整治专项行动，对“博爱送万家”等人道救助领域存在问题进行专项整治。持续整治形式主义为基层减负，落实好过紧日子要求，做好“精文减会”、“统筹规范督检考”等工作。认真做好巡察“后半篇文章”，成立巡察整改工作领导小组，研究制定巡察整改“三清单”，压紧压实整改责任，推动巡察整改工作落实落细。针对巡察反馈的29个具体问题，制定整改措施84条，其中77条已完成整改。抓好巡察成果运用，健全完善制度机制，着力实现巡察整改成果运用长效化常态化。（二）以保护生命为宗旨，服务民生大局更加有力坚持围绕全市经济社会发展大局，做强红十字会主责主业，以特色优势服务中心工作。以服务健康苏州建设为切入口和着力点，推进应急救援、救护培训和“三献”工作高质量发展。一是救援保障常态推进。坚持日常训练和专项训练相结合，全面提升救援队专业化实战化水平。组织救援队参加“5·12”全国防灾减灾周、“6·16”国家安全生产月宣传活动，开展普及培训50场，2859人次受益；选派救援队员为金鸡湖龙舟赛1400余名选手提供安全保障。结合学生暑假，与教育系统联合实施预防溺水·救在身边——“博爱泳安”公益项目，面向学校、社区，组织开展防灾避险知识“三进”活动。主动对接园林系统，利用清明、五一等重要节假日，开展景区救援救护服务保障。推动救援队与博爱家园结对，深入社区开展救护培训、防灾减灾救灾知识普及等志愿服务，提高居民自救互救能力。张家港市建成启动备灾救灾物资储备库，联合市应急局启动“应急第一响应人”队伍建设项目。二是救护培训提档升级。紧密联系教育局、民政局、慈善总会、轨交集团等单位，牵头实施“AED倍增工程”民生实事项目，全市新增配置AED3187台。联合共建“AED设备+急救志愿者+应急调度系统”公共应急模式，提高苏州重特大突发事件医疗应急处置能力，政企联动探索华东地区首个“黄金四分钟”医疗城市救援圈，助力苏州建成医疗应急重点试点城市。为AED倍增工程配套开展应急救护培训，全市共培训21.67万人次。组队参加全省急救先锋技能大赛，勇夺团体一等奖。举办全市应急救护技能大赛，昆山市获团体特等奖。年内，全市在公共场所使用AED成功救治突发病患33人，其中西交利物浦大学成功救治外籍学生，轨交2号线成功救治乘客的新闻被广泛报道。助力安全生产“六化”示范村创建，定向捐赠AED，开设专场应急救护知识和技能培训班。为企业提供个性化救护培训项目，助力营造良好营商环境。加强全市应急救护培训标准化和规范化建设，通过举办应急救护培训示范教学培训班、上门送训等方式，培训各地师资300余人次，有效促进应急救护培训质量提升。常熟市、姑苏区着力打造标准化数字化救护培训基地。太仓市将AED配置信息融入120急救调度指挥平台，方便快速取用。姑苏区持续募资新增AED配置300台。高新区联合慈善总会实施“生命守护计划”，拓宽AED覆盖网络。三是捐献工作再创新高。扎实推动造血干细胞宣传和捐献工作，完成造血干细胞报名采样2573人份。严控再动员反悔率，将捐献服务重心前移，实现造血干细胞捐献42例，同比增长75%，创历史新高。其中，吴江区成功捐献达10例，昆山市、吴中区、常熟市均在6例以上，常熟市实现1例对外捐献。累计4.2万名志愿者加入中华骨髓库，成功捐献276例，位居全省第一。规范开展遗体器官捐献工作，募集资金完成捐献纪念园改造工程，更好服务捐献者家属。新增报名登记人体器官捐献志愿者2631人，实现遗体捐献140例；实现器官捐献28例，实现角膜捐献97例。清明节前夕，在红十字捐献纪念园举办“生命 礼赞”深切缅怀遗体、人体器官（角膜）捐献者活动。加强对捐献志愿者及家属的关怀礼遇，对捐献者家属开展暖心慰问。相城区为捐遗志愿者提供家庭医生健康管理服务。（三）以强基固本为抓手，人道服务能力不断提升坚持工作下沉、资源下倾，着力夯实红十字会的基层基础。持续扩大基层红十字会覆盖面和影响力，推动博爱家园融入新时代文明实践中心（所、站），把红十字服务送到群众身边。一是基层阵地融合发展。新建博爱家园10个，全市112个博爱家园开展活动1207场次，服务社区群众4.2万人次。新增注册志愿者1.2万人，新增志愿服务组织95个，向总会申请并获批永久会员单位1个，向省红十字会推荐申报5星级志愿者6人，市本级评选4星级志愿者11人。认真做好总会《红十字医疗卫生机构管理办法》学习宣传，全覆盖走访全市三甲以上冠名医疗卫生机构，加强沟通联系，征求意见建议。广泛动员会员单位和冠名医疗机构，深入基层开展“红十字博爱送健康”活动。全市红会系统组织开展各类义诊科普宣传活动464场，服务群众3.7万人次。中国红十字会副会长王斌、梁宇及10多个国家红十字会和国际组织负责人先后考察吴江区、昆山市、姑苏区、高新区红十字基层阵地，并给予高度评价。二是志愿服务亮点突出。认真组织“博爱青春”暑期志愿服务项目，全市13所高校申报项目65个，其中9个获省级支持，30个获市级支持，项目实施规模历年最大。全市共有1155名高校红十字青年志愿者参与志愿服务，累计志愿服务27528小时，受益近6万人。苏州健雄职业技术学院“博爱青春”志愿服务项目—“行走的救护员 小哥新力量”参加全国首届红十字志愿服务项目大赛，荣获金奖。昆山红十字志愿者郭成奎获评全国红十字志愿服务先进典型。常熟市将志愿捐献遗体深度融合新时代文明实践，打造成新时代文明实践创新案例。三是人道救助精准高效。全市红十字会系统接收捐赠款物4706万元，发放救助款物4506万元，救助4.2万人次。常态化开展博爱送万家活动，在元旦春节期间慰问困难群众，向孤寡老人、残疾人等困难群体发放救助款物349.3万元，5805户家庭1.53万人受益。为困境人员提供临时救助，发挥救急难作用，助力维护社会安全稳定。“味知香”“诚善助学计划”等助学、助医、助困、助老项目，帮扶救助全市困难家庭，特别是困难捐献者家庭，为他们送去社会的关爱与温暖。围绕市委市政府和上级红会对口支援协作合作工作大局，向陕西周至、新疆伊犁、河南信阳、青海玉树等地捐赠款物358万元。张家港市设立“医保纾困关爱弱势群体专项资金”，为罕见病患者提供人道救助。相城区实施博爱送医项目，为贫困尿毒症患者提供出行接送服务。（四）以品牌传播为依托，人道资源动员有效增强紧扣“世界红十字日”“世界献血者日”等重大时间节点，精心策划宣传活动和新闻报道，以高质量宣传工作动员社会资源支持和参与红十字事业。一是增强人道传播效能。积极做好纪念中国红十字会建会120周年系列宣传活动，先后发动会员、志愿者及各基层组织上报征文30篇，故事和视频10个，夺得征文类、视频类一等奖，另有 14个作品分获二等奖、三等奖。“5·8”人道博爱周期间，组织纪念第77个世界红十字日主题宣传活动暨“人道精神 生生不息”健身公益行活动，800余名群众以及200余名志愿者参与，让公众在喜闻乐见的活动中参与公益，传播人道精神。金鸡湖龙舟赛期间，在主会场设置公益市集，组织义卖和红十字人道宣传，让人道精神更加深入人心。全市红十字会系统被各类媒体报道1500余次，市红十字会微信公众号发布文章127篇，总阅读量8万人次，粉丝数增长至11.7万人。二是增强资源动员水平。召开全市红十字会系统筹资工作专题会议，结合年度筹资项目，重点对全市网络筹资工作进行专项部署。积极回应企业关切，成立苏州市人力资源服务行业协会红十字关爱基金，设立基本盘14万元，为来苏务工群体提供人道关爱和应急救助。认真开展透明度指数建设工作，及时规范在“博爱中国”平台公开信息，及时完善“慈善中国”平台相关信息并对外发布，督促区县红十字会及时发布</w:t>
      </w:r>
    </w:p>
    <w:p w14:paraId="5F3839C4">
      <w:pPr>
        <w:spacing w:line="360" w:lineRule="auto"/>
        <w:ind w:left="600"/>
        <w:rPr>
          <w:rFonts w:ascii="黑体" w:hAnsi="黑体" w:eastAsia="黑体"/>
          <w:sz w:val="30"/>
        </w:rPr>
      </w:pPr>
      <w:r>
        <w:rPr>
          <w:rFonts w:hint="eastAsia" w:ascii="黑体" w:hAnsi="黑体" w:eastAsia="黑体"/>
          <w:sz w:val="30"/>
        </w:rPr>
        <w:t>三、部门（单位）概况</w:t>
      </w:r>
    </w:p>
    <w:p w14:paraId="7D338969">
      <w:pPr>
        <w:spacing w:line="360" w:lineRule="auto"/>
        <w:ind w:firstLine="480" w:firstLineChars="200"/>
        <w:rPr>
          <w:rFonts w:ascii="宋体" w:hAnsi="宋体" w:cs="宋体"/>
          <w:sz w:val="24"/>
        </w:rPr>
      </w:pPr>
      <w:r>
        <w:rPr>
          <w:rFonts w:hint="eastAsia" w:ascii="宋体" w:hAnsi="宋体" w:cs="宋体"/>
          <w:sz w:val="24"/>
        </w:rPr>
        <w:t>苏州市红十字会共有1家预算单位，即苏州市红十字会（本级）.根据部门职责分工，本部门内设机构包括：办公室（监事会办公室）、组织宣传部、赈济救护部、捐献工作部。本部门无下属单位。2024年底苏州市红十字会有参公人员16人，公益性岗位6人，较上年新增1人。</w:t>
      </w:r>
    </w:p>
    <w:p w14:paraId="201729EA">
      <w:pPr>
        <w:spacing w:line="360" w:lineRule="auto"/>
        <w:ind w:left="600"/>
        <w:rPr>
          <w:rFonts w:ascii="黑体" w:hAnsi="黑体" w:eastAsia="黑体"/>
          <w:sz w:val="30"/>
        </w:rPr>
      </w:pPr>
      <w:r>
        <w:rPr>
          <w:rFonts w:hint="eastAsia" w:ascii="黑体" w:hAnsi="黑体" w:eastAsia="黑体"/>
          <w:sz w:val="30"/>
        </w:rPr>
        <w:t>四、部门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整体支出绩效实现情况</w:t>
      </w:r>
    </w:p>
    <w:p w14:paraId="7D81C34A">
      <w:pPr>
        <w:spacing w:line="360" w:lineRule="auto"/>
        <w:ind w:firstLine="480" w:firstLineChars="200"/>
        <w:rPr>
          <w:rFonts w:ascii="宋体" w:hAnsi="宋体" w:cs="宋体"/>
          <w:sz w:val="24"/>
        </w:rPr>
      </w:pPr>
      <w:r>
        <w:rPr>
          <w:rFonts w:hint="eastAsia" w:ascii="宋体" w:hAnsi="宋体" w:cs="宋体"/>
          <w:sz w:val="24"/>
        </w:rPr>
        <w:t>（一）全面推行预算项目绩效目标管理将部门预算项目以及部门整体支出完全纳入绩效管理系统。对于2024年的预算项目，在申请预算时同步提供项目绩效目标，包括立项理由、项目详情与目标、执行周期、总预算投入、已使用资金，以及当年的预算目标和预算额度等，并对项目绩效目标完成的可行性进行分析。（二）积极推进项目绩效评估进程在强化预算编制流程的同时，提升预算执行的监督力度和执行成效的评估，确保绩效目标贯穿预算管理的前期、中期和后期各个阶段。广泛实施单位内部自我评估，并主动配合财政部门对特定项目进行复评，公开及时地反馈评估结果，以推动支出管理的加强和下一年度预算编制审查工作的改进。在项目执行过程中，我们对所有绩效目标进行了严格的监控。我们要求这些目标尽可能地实现量化和可追溯性，以防止数据的虚构。（三）强化关键项目的绩效监督工作针对两个市立项目“红十字公益服务工作经费”与“公益性应急救护培训”实施专项自主监控，确保项目进展的持续跟踪。2024年度红十字公益服务工作经费的绩效目标设定为新建10个博爱家园，力求博爱家园的覆盖率超过90%，预计至年末将全面达成既定绩效目标。同时，公益性应急救护培训计划全年普及救护培训9250人次，初级救护员培训5000人次，预计至年末将全面实现绩效目标。</w:t>
      </w:r>
    </w:p>
    <w:p w14:paraId="1B2DC329">
      <w:pPr>
        <w:spacing w:line="360" w:lineRule="auto"/>
        <w:ind w:left="600"/>
        <w:rPr>
          <w:rFonts w:ascii="黑体" w:hAnsi="黑体" w:eastAsia="黑体"/>
          <w:sz w:val="30"/>
        </w:rPr>
      </w:pPr>
      <w:r>
        <w:rPr>
          <w:rFonts w:hint="eastAsia" w:ascii="黑体" w:hAnsi="黑体" w:eastAsia="黑体"/>
          <w:sz w:val="30"/>
        </w:rPr>
        <w:t>五、部门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整体支出绩效中存</w:t>
      </w:r>
      <w:r>
        <w:rPr>
          <w:rFonts w:ascii="黑体" w:hAnsi="黑体" w:eastAsia="黑体"/>
          <w:sz w:val="30"/>
        </w:rPr>
        <w:t>在问题</w:t>
      </w:r>
      <w:r>
        <w:rPr>
          <w:rFonts w:hint="eastAsia" w:ascii="黑体" w:hAnsi="黑体" w:eastAsia="黑体"/>
          <w:sz w:val="30"/>
        </w:rPr>
        <w:t>及</w:t>
      </w:r>
      <w:r>
        <w:rPr>
          <w:rFonts w:ascii="黑体" w:hAnsi="黑体" w:eastAsia="黑体"/>
          <w:sz w:val="30"/>
        </w:rPr>
        <w:t>改进措施</w:t>
      </w:r>
    </w:p>
    <w:p w14:paraId="626F8FAD">
      <w:pPr>
        <w:spacing w:line="360" w:lineRule="auto"/>
        <w:ind w:firstLine="480" w:firstLineChars="200"/>
        <w:rPr>
          <w:rFonts w:ascii="宋体" w:hAnsi="宋体" w:cs="宋体"/>
          <w:sz w:val="24"/>
        </w:rPr>
      </w:pPr>
      <w:r>
        <w:rPr>
          <w:rFonts w:hint="eastAsia" w:ascii="宋体" w:hAnsi="宋体" w:cs="宋体"/>
          <w:sz w:val="24"/>
        </w:rPr>
        <w:t>存在的问题：一是评价标准不明确，评价标准不够明确或者较为定性型，可能会导致评价结果不准确或者存在争议。二是反馈机制不完善，部门整体绩效评价结果反馈机制不完善，尚未得到足够的重视。三是过于注重短期成果，导致部门忽略长期发展目标。改进措施：一是进一步明确工作职责。充分认识自主预算绩效管理工作的重要性和必要性，细化明确各部室预算绩效管理工作任务，确保自主预算绩效管理工作顺利实施，有序推进。二是进一步明晰工作流程。深入学习预算绩效管理规定要求，明确工作步骤和业务流程，深化运用绩效评价的方式方法。在开展自主绩效管理工作过程中，遵循“突出重点，分类管理”原则，根据实际情况，分析研究项目特性，明确管理重点，开展分类别、分层次的个性化预算绩效管理。三是进一步加强沟通协作。部门自主预算绩效管理工作涉及我会各部室，涉及面较广，各部室间进一步加强沟通协调，注重团队合作，精心组织实施，推动自主绩效管理工作取得实效。</w:t>
      </w:r>
    </w:p>
    <w:p w14:paraId="088B966C">
      <w:pPr>
        <w:spacing w:line="360" w:lineRule="auto"/>
        <w:ind w:left="600"/>
        <w:rPr>
          <w:rFonts w:ascii="黑体" w:hAnsi="黑体" w:eastAsia="黑体"/>
          <w:sz w:val="30"/>
        </w:rPr>
      </w:pPr>
      <w:r>
        <w:rPr>
          <w:rFonts w:hint="eastAsia" w:ascii="黑体" w:hAnsi="黑体" w:eastAsia="黑体"/>
          <w:sz w:val="30"/>
        </w:rPr>
        <w:t>六、</w:t>
      </w:r>
      <w:r>
        <w:rPr>
          <w:rFonts w:ascii="黑体" w:hAnsi="黑体" w:eastAsia="黑体"/>
          <w:sz w:val="30"/>
        </w:rPr>
        <w:t>绩效自评</w:t>
      </w:r>
      <w:r>
        <w:rPr>
          <w:rFonts w:hint="eastAsia" w:ascii="黑体" w:hAnsi="黑体" w:eastAsia="黑体"/>
          <w:sz w:val="30"/>
        </w:rPr>
        <w:t>结果</w:t>
      </w:r>
      <w:r>
        <w:rPr>
          <w:rFonts w:ascii="黑体" w:hAnsi="黑体" w:eastAsia="黑体"/>
          <w:sz w:val="30"/>
        </w:rPr>
        <w:t>拟应用和公开</w:t>
      </w:r>
      <w:r>
        <w:rPr>
          <w:rFonts w:hint="eastAsia" w:ascii="黑体" w:hAnsi="黑体" w:eastAsia="黑体"/>
          <w:sz w:val="30"/>
        </w:rPr>
        <w:t>情况</w:t>
      </w:r>
    </w:p>
    <w:p w14:paraId="19BBA852">
      <w:pPr>
        <w:spacing w:line="360" w:lineRule="auto"/>
        <w:ind w:firstLine="480" w:firstLineChars="200"/>
        <w:rPr>
          <w:rFonts w:ascii="宋体" w:hAnsi="宋体" w:cs="宋体"/>
          <w:sz w:val="24"/>
        </w:rPr>
      </w:pPr>
      <w:r>
        <w:rPr>
          <w:rFonts w:hint="eastAsia" w:ascii="宋体" w:hAnsi="宋体" w:cs="宋体"/>
          <w:sz w:val="24"/>
        </w:rPr>
        <w:t>1.将自评价结果作为以后年度编制预算和安排资金的重要依据，对重点项目自评价结果进行公开，绩效评价结果差的调减项目预算，结果好的优先安排。根据绩效评价中发现的问题，及时提出对应措施，督促执行部室整改到位，逐步改进绩效管理水平，将评价结果纳入各部室工作目标考核范畴并作为重要依据。2.绩效目标及自评价报告、再评价评分表均已公开。</w:t>
      </w:r>
    </w:p>
    <w:p w14:paraId="77536DBD">
      <w:pPr>
        <w:spacing w:line="360" w:lineRule="auto"/>
        <w:rPr>
          <w:rFonts w:ascii="黑体" w:hAnsi="黑体" w:eastAsia="黑体"/>
          <w:sz w:val="30"/>
        </w:rPr>
        <w:sectPr>
          <w:headerReference r:id="rId3" w:type="default"/>
          <w:footerReference r:id="rId5" w:type="default"/>
          <w:headerReference r:id="rId4" w:type="even"/>
          <w:footerReference r:id="rId6" w:type="even"/>
          <w:pgSz w:w="11907" w:h="16840"/>
          <w:pgMar w:top="1247" w:right="1400" w:bottom="1089" w:left="1559" w:header="851" w:footer="992" w:gutter="0"/>
          <w:paperSrc w:first="15" w:other="15"/>
          <w:cols w:space="720" w:num="1"/>
          <w:docGrid w:type="lines" w:linePitch="312" w:charSpace="0"/>
        </w:sectPr>
      </w:pPr>
    </w:p>
    <w:p w14:paraId="280D262C">
      <w:pPr>
        <w:numPr>
          <w:ilvl w:val="0"/>
          <w:numId w:val="1"/>
        </w:numPr>
        <w:spacing w:line="360" w:lineRule="auto"/>
        <w:ind w:left="600"/>
        <w:rPr>
          <w:rFonts w:ascii="黑体" w:hAnsi="黑体" w:eastAsia="黑体"/>
          <w:sz w:val="30"/>
        </w:rPr>
      </w:pPr>
      <w:r>
        <w:rPr>
          <w:rFonts w:hint="eastAsia" w:ascii="黑体" w:hAnsi="黑体" w:eastAsia="黑体"/>
          <w:sz w:val="30"/>
        </w:rPr>
        <w:t>预算信息</w:t>
      </w:r>
    </w:p>
    <w:p w14:paraId="6B7F7FE6">
      <w:pPr>
        <w:spacing w:line="360" w:lineRule="auto"/>
        <w:ind w:left="600"/>
        <w:rPr>
          <w:rFonts w:ascii="黑体" w:hAnsi="黑体" w:eastAsia="黑体"/>
          <w:sz w:val="30"/>
        </w:rPr>
      </w:pPr>
    </w:p>
    <w:tbl>
      <w:tblPr>
        <w:tblStyle w:val="5"/>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gridCol w:w="2268"/>
        <w:gridCol w:w="2268"/>
        <w:gridCol w:w="2268"/>
        <w:gridCol w:w="2268"/>
      </w:tblGrid>
      <w:tr w14:paraId="7D63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vAlign w:val="center"/>
          </w:tcPr>
          <w:p w14:paraId="4BC6E322">
            <w:pPr>
              <w:widowControl/>
              <w:jc w:val="center"/>
              <w:rPr>
                <w:rFonts w:ascii="宋体" w:hAnsi="宋体" w:cs="宋体"/>
                <w:b/>
                <w:bCs/>
                <w:kern w:val="0"/>
                <w:sz w:val="24"/>
              </w:rPr>
            </w:pPr>
            <w:r>
              <w:rPr>
                <w:rFonts w:hint="eastAsia" w:ascii="宋体" w:hAnsi="宋体" w:cs="宋体"/>
                <w:b/>
                <w:bCs/>
                <w:kern w:val="0"/>
                <w:sz w:val="24"/>
              </w:rPr>
              <w:t>本年度预算资金（万元）</w:t>
            </w:r>
            <w:r>
              <w:rPr>
                <w:rFonts w:ascii="宋体" w:hAnsi="宋体" w:cs="宋体" w:eastAsia="宋体"/>
                <w:b w:val="true"/>
                <w:color w:val=""/>
                <w:sz w:val="24"/>
                <w:u w:val="none"/>
              </w:rPr>
              <w:t/>
            </w:r>
          </w:p>
        </w:tc>
        <w:tc>
          <w:tcPr>
            <w:tcW w:w="2268" w:type="dxa"/>
            <w:shd w:val="clear" w:color="000000" w:fill="BFBFBF"/>
            <w:vAlign w:val="center"/>
          </w:tcPr>
          <w:p w14:paraId="7E2E6F84">
            <w:pPr>
              <w:widowControl/>
              <w:jc w:val="center"/>
              <w:rPr>
                <w:rFonts w:ascii="宋体" w:hAnsi="宋体" w:cs="宋体"/>
                <w:b/>
                <w:bCs/>
                <w:kern w:val="0"/>
                <w:sz w:val="24"/>
              </w:rPr>
            </w:pPr>
            <w:r>
              <w:rPr>
                <w:rFonts w:hint="eastAsia" w:ascii="宋体" w:hAnsi="宋体" w:cs="宋体"/>
                <w:b/>
                <w:bCs/>
                <w:kern w:val="0"/>
                <w:sz w:val="24"/>
              </w:rPr>
              <w:t>年初预算数（万元）</w:t>
            </w:r>
          </w:p>
        </w:tc>
        <w:tc>
          <w:tcPr>
            <w:tcW w:w="2268" w:type="dxa"/>
            <w:shd w:val="clear" w:color="000000" w:fill="BFBFBF"/>
            <w:vAlign w:val="center"/>
          </w:tcPr>
          <w:p w14:paraId="74B8B6D4">
            <w:pPr>
              <w:widowControl/>
              <w:jc w:val="center"/>
              <w:rPr>
                <w:rFonts w:ascii="宋体" w:hAnsi="宋体" w:cs="宋体"/>
                <w:b/>
                <w:bCs/>
                <w:kern w:val="0"/>
                <w:sz w:val="24"/>
              </w:rPr>
            </w:pPr>
            <w:r>
              <w:rPr>
                <w:rFonts w:hint="eastAsia" w:ascii="宋体" w:hAnsi="宋体" w:cs="宋体"/>
                <w:b/>
                <w:bCs/>
                <w:kern w:val="0"/>
                <w:sz w:val="24"/>
              </w:rPr>
              <w:t>上年度结转及当年预算追加追减数(万元）</w:t>
            </w:r>
          </w:p>
        </w:tc>
        <w:tc>
          <w:tcPr>
            <w:tcW w:w="2268" w:type="dxa"/>
            <w:shd w:val="clear" w:color="000000" w:fill="BFBFBF"/>
            <w:vAlign w:val="center"/>
          </w:tcPr>
          <w:p w14:paraId="218C2C18">
            <w:pPr>
              <w:widowControl/>
              <w:jc w:val="center"/>
              <w:rPr>
                <w:rFonts w:ascii="宋体" w:hAnsi="宋体" w:cs="宋体"/>
                <w:b/>
                <w:bCs/>
                <w:kern w:val="0"/>
                <w:sz w:val="24"/>
              </w:rPr>
            </w:pPr>
            <w:r>
              <w:rPr>
                <w:rFonts w:hint="eastAsia" w:ascii="宋体" w:hAnsi="宋体" w:cs="宋体"/>
                <w:b/>
                <w:bCs/>
                <w:kern w:val="0"/>
                <w:sz w:val="24"/>
              </w:rPr>
              <w:t>调整预算数（万元）</w:t>
            </w:r>
          </w:p>
        </w:tc>
        <w:tc>
          <w:tcPr>
            <w:tcW w:w="2268" w:type="dxa"/>
            <w:shd w:val="clear" w:color="000000" w:fill="BFBFBF"/>
            <w:vAlign w:val="center"/>
          </w:tcPr>
          <w:p w14:paraId="6C2574C8">
            <w:pPr>
              <w:widowControl/>
              <w:jc w:val="center"/>
              <w:rPr>
                <w:rFonts w:ascii="宋体" w:hAnsi="宋体" w:cs="宋体"/>
                <w:b/>
                <w:bCs/>
                <w:kern w:val="0"/>
                <w:sz w:val="24"/>
              </w:rPr>
            </w:pPr>
            <w:r>
              <w:rPr>
                <w:rFonts w:hint="eastAsia" w:ascii="宋体" w:hAnsi="宋体" w:cs="宋体"/>
                <w:b/>
                <w:bCs/>
                <w:kern w:val="0"/>
                <w:sz w:val="24"/>
              </w:rPr>
              <w:t>实际支出数（万元）</w:t>
            </w:r>
          </w:p>
        </w:tc>
        <w:tc>
          <w:tcPr>
            <w:tcW w:w="2268" w:type="dxa"/>
            <w:shd w:val="clear" w:color="000000" w:fill="BFBFBF"/>
            <w:vAlign w:val="center"/>
          </w:tcPr>
          <w:p w14:paraId="3899CF22">
            <w:pPr>
              <w:widowControl/>
              <w:jc w:val="center"/>
              <w:rPr>
                <w:rFonts w:ascii="宋体" w:hAnsi="宋体" w:cs="宋体"/>
                <w:b/>
                <w:bCs/>
                <w:kern w:val="0"/>
                <w:sz w:val="24"/>
              </w:rPr>
            </w:pPr>
            <w:r>
              <w:rPr>
                <w:rFonts w:hint="eastAsia" w:ascii="宋体" w:hAnsi="宋体" w:cs="宋体"/>
                <w:b/>
                <w:bCs/>
                <w:kern w:val="0"/>
                <w:sz w:val="24"/>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预算总金额</w:t>
            </w:r>
          </w:p>
        </w:tc>
        <w:tc>
          <w:tcPr>
            <w:tcW w:w="2268" w:type="dxa"/>
            <w:vAlign w:val="center"/>
          </w:tcPr>
          <w:p>
            <w:pPr>
              <w:widowControl/>
              <w:jc w:val="center"/>
              <w:rPr>
                <w:rFonts w:ascii="宋体" w:hAnsi="宋体" w:cs="宋体"/>
                <w:kern w:val="0"/>
                <w:sz w:val="24"/>
              </w:rPr>
            </w:pPr>
            <w:r>
              <w:rPr>
                <w:rFonts w:hint="eastAsia" w:ascii="宋体" w:hAnsi="宋体" w:cs="宋体"/>
                <w:sz w:val="24"/>
              </w:rPr>
              <w:t>1015.14</w:t>
            </w:r>
          </w:p>
        </w:tc>
        <w:tc>
          <w:tcPr>
            <w:tcW w:w="2268" w:type="dxa"/>
            <w:vAlign w:val="center"/>
          </w:tcPr>
          <w:p>
            <w:pPr>
              <w:widowControl/>
              <w:jc w:val="center"/>
              <w:rPr>
                <w:rFonts w:ascii="宋体" w:hAnsi="宋体" w:cs="宋体"/>
                <w:sz w:val="24"/>
              </w:rPr>
            </w:pPr>
            <w:r>
              <w:rPr>
                <w:rFonts w:hint="eastAsia" w:ascii="宋体" w:hAnsi="宋体" w:cs="宋体"/>
                <w:sz w:val="24"/>
              </w:rPr>
              <w:t>131.16</w:t>
            </w:r>
          </w:p>
        </w:tc>
        <w:tc>
          <w:tcPr>
            <w:tcW w:w="2268" w:type="dxa"/>
            <w:vAlign w:val="center"/>
          </w:tcPr>
          <w:p>
            <w:pPr>
              <w:widowControl/>
              <w:jc w:val="center"/>
              <w:rPr>
                <w:rFonts w:ascii="宋体" w:hAnsi="宋体" w:cs="宋体"/>
                <w:sz w:val="24"/>
              </w:rPr>
            </w:pPr>
            <w:r>
              <w:rPr>
                <w:rFonts w:hint="eastAsia" w:ascii="宋体" w:hAnsi="宋体" w:cs="宋体"/>
                <w:sz w:val="24"/>
              </w:rPr>
              <w:t>1146.3</w:t>
            </w:r>
          </w:p>
        </w:tc>
        <w:tc>
          <w:tcPr>
            <w:tcW w:w="2268" w:type="dxa"/>
            <w:vAlign w:val="center"/>
          </w:tcPr>
          <w:p>
            <w:pPr>
              <w:widowControl/>
              <w:jc w:val="center"/>
              <w:rPr>
                <w:rFonts w:ascii="宋体" w:hAnsi="宋体" w:cs="宋体"/>
                <w:sz w:val="24"/>
              </w:rPr>
            </w:pPr>
            <w:r>
              <w:rPr>
                <w:rFonts w:hint="eastAsia" w:ascii="宋体" w:hAnsi="宋体" w:cs="宋体"/>
                <w:sz w:val="24"/>
              </w:rPr>
              <w:t>1134.18</w:t>
            </w:r>
          </w:p>
        </w:tc>
        <w:tc>
          <w:tcPr>
            <w:tcW w:w="2268" w:type="dxa"/>
            <w:vAlign w:val="center"/>
          </w:tcPr>
          <w:p>
            <w:pPr>
              <w:widowControl/>
              <w:jc w:val="center"/>
              <w:rPr>
                <w:rFonts w:ascii="宋体" w:hAnsi="宋体" w:cs="宋体"/>
                <w:sz w:val="24"/>
              </w:rPr>
            </w:pPr>
            <w:r>
              <w:rPr>
                <w:rFonts w:hint="eastAsia" w:ascii="宋体" w:hAnsi="宋体" w:cs="宋体"/>
                <w:sz w:val="24"/>
              </w:rPr>
              <w:t>98.94%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基本支出</w:t>
            </w:r>
          </w:p>
        </w:tc>
        <w:tc>
          <w:tcPr>
            <w:tcW w:w="2268" w:type="dxa"/>
            <w:vAlign w:val="center"/>
          </w:tcPr>
          <w:p>
            <w:pPr>
              <w:widowControl/>
              <w:jc w:val="center"/>
              <w:rPr>
                <w:rFonts w:ascii="宋体" w:hAnsi="宋体" w:cs="宋体"/>
                <w:kern w:val="0"/>
                <w:sz w:val="24"/>
              </w:rPr>
            </w:pPr>
            <w:r>
              <w:rPr>
                <w:rFonts w:hint="eastAsia" w:ascii="宋体" w:hAnsi="宋体" w:cs="宋体"/>
                <w:sz w:val="24"/>
              </w:rPr>
              <w:t>773.76</w:t>
            </w:r>
          </w:p>
        </w:tc>
        <w:tc>
          <w:tcPr>
            <w:tcW w:w="2268" w:type="dxa"/>
            <w:vAlign w:val="center"/>
          </w:tcPr>
          <w:p>
            <w:pPr>
              <w:widowControl/>
              <w:jc w:val="center"/>
              <w:rPr>
                <w:rFonts w:ascii="宋体" w:hAnsi="宋体" w:cs="宋体"/>
                <w:sz w:val="24"/>
              </w:rPr>
            </w:pPr>
            <w:r>
              <w:rPr>
                <w:rFonts w:hint="eastAsia" w:ascii="宋体" w:hAnsi="宋体" w:cs="宋体"/>
                <w:sz w:val="24"/>
              </w:rPr>
              <w:t>113.49</w:t>
            </w:r>
          </w:p>
        </w:tc>
        <w:tc>
          <w:tcPr>
            <w:tcW w:w="2268" w:type="dxa"/>
            <w:vAlign w:val="center"/>
          </w:tcPr>
          <w:p>
            <w:pPr>
              <w:widowControl/>
              <w:jc w:val="center"/>
              <w:rPr>
                <w:rFonts w:ascii="宋体" w:hAnsi="宋体" w:cs="宋体"/>
                <w:sz w:val="24"/>
              </w:rPr>
            </w:pPr>
            <w:r>
              <w:rPr>
                <w:rFonts w:hint="eastAsia" w:ascii="宋体" w:hAnsi="宋体" w:cs="宋体"/>
                <w:sz w:val="24"/>
              </w:rPr>
              <w:t>887.25</w:t>
            </w:r>
          </w:p>
        </w:tc>
        <w:tc>
          <w:tcPr>
            <w:tcW w:w="2268" w:type="dxa"/>
            <w:vAlign w:val="center"/>
          </w:tcPr>
          <w:p>
            <w:pPr>
              <w:widowControl/>
              <w:jc w:val="center"/>
              <w:rPr>
                <w:rFonts w:ascii="宋体" w:hAnsi="宋体" w:cs="宋体"/>
                <w:sz w:val="24"/>
              </w:rPr>
            </w:pPr>
            <w:r>
              <w:rPr>
                <w:rFonts w:hint="eastAsia" w:ascii="宋体" w:hAnsi="宋体" w:cs="宋体"/>
                <w:sz w:val="24"/>
              </w:rPr>
              <w:t>875.13</w:t>
            </w:r>
          </w:p>
        </w:tc>
        <w:tc>
          <w:tcPr>
            <w:tcW w:w="2268" w:type="dxa"/>
            <w:vAlign w:val="center"/>
          </w:tcPr>
          <w:p>
            <w:pPr>
              <w:widowControl/>
              <w:jc w:val="center"/>
              <w:rPr>
                <w:rFonts w:ascii="宋体" w:hAnsi="宋体" w:cs="宋体"/>
                <w:sz w:val="24"/>
              </w:rPr>
            </w:pPr>
            <w:r>
              <w:rPr>
                <w:rFonts w:hint="eastAsia" w:ascii="宋体" w:hAnsi="宋体" w:cs="宋体"/>
                <w:sz w:val="24"/>
              </w:rPr>
              <w:t>98.63%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项目支出</w:t>
            </w:r>
          </w:p>
        </w:tc>
        <w:tc>
          <w:tcPr>
            <w:tcW w:w="2268" w:type="dxa"/>
            <w:vAlign w:val="center"/>
          </w:tcPr>
          <w:p>
            <w:pPr>
              <w:widowControl/>
              <w:jc w:val="center"/>
              <w:rPr>
                <w:rFonts w:ascii="宋体" w:hAnsi="宋体" w:cs="宋体"/>
                <w:kern w:val="0"/>
                <w:sz w:val="24"/>
              </w:rPr>
            </w:pPr>
            <w:r>
              <w:rPr>
                <w:rFonts w:hint="eastAsia" w:ascii="宋体" w:hAnsi="宋体" w:cs="宋体"/>
                <w:sz w:val="24"/>
              </w:rPr>
              <w:t>241.38</w:t>
            </w:r>
          </w:p>
        </w:tc>
        <w:tc>
          <w:tcPr>
            <w:tcW w:w="2268" w:type="dxa"/>
            <w:vAlign w:val="center"/>
          </w:tcPr>
          <w:p>
            <w:pPr>
              <w:widowControl/>
              <w:jc w:val="center"/>
              <w:rPr>
                <w:rFonts w:ascii="宋体" w:hAnsi="宋体" w:cs="宋体"/>
                <w:sz w:val="24"/>
              </w:rPr>
            </w:pPr>
            <w:r>
              <w:rPr>
                <w:rFonts w:hint="eastAsia" w:ascii="宋体" w:hAnsi="宋体" w:cs="宋体"/>
                <w:sz w:val="24"/>
              </w:rPr>
              <w:t>17.67</w:t>
            </w:r>
          </w:p>
        </w:tc>
        <w:tc>
          <w:tcPr>
            <w:tcW w:w="2268" w:type="dxa"/>
            <w:vAlign w:val="center"/>
          </w:tcPr>
          <w:p>
            <w:pPr>
              <w:widowControl/>
              <w:jc w:val="center"/>
              <w:rPr>
                <w:rFonts w:ascii="宋体" w:hAnsi="宋体" w:cs="宋体"/>
                <w:sz w:val="24"/>
              </w:rPr>
            </w:pPr>
            <w:r>
              <w:rPr>
                <w:rFonts w:hint="eastAsia" w:ascii="宋体" w:hAnsi="宋体" w:cs="宋体"/>
                <w:sz w:val="24"/>
              </w:rPr>
              <w:t>259.05</w:t>
            </w:r>
          </w:p>
        </w:tc>
        <w:tc>
          <w:tcPr>
            <w:tcW w:w="2268" w:type="dxa"/>
            <w:vAlign w:val="center"/>
          </w:tcPr>
          <w:p>
            <w:pPr>
              <w:widowControl/>
              <w:jc w:val="center"/>
              <w:rPr>
                <w:rFonts w:ascii="宋体" w:hAnsi="宋体" w:cs="宋体"/>
                <w:sz w:val="24"/>
              </w:rPr>
            </w:pPr>
            <w:r>
              <w:rPr>
                <w:rFonts w:hint="eastAsia" w:ascii="宋体" w:hAnsi="宋体" w:cs="宋体"/>
                <w:sz w:val="24"/>
              </w:rPr>
              <w:t>259.05</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信息化维护费</w:t>
            </w:r>
          </w:p>
        </w:tc>
        <w:tc>
          <w:tcPr>
            <w:tcW w:w="2268" w:type="dxa"/>
            <w:vAlign w:val="center"/>
          </w:tcPr>
          <w:p>
            <w:pPr>
              <w:widowControl/>
              <w:jc w:val="center"/>
              <w:rPr>
                <w:rFonts w:ascii="宋体" w:hAnsi="宋体" w:cs="宋体"/>
                <w:kern w:val="0"/>
                <w:sz w:val="24"/>
              </w:rPr>
            </w:pPr>
            <w:r>
              <w:rPr>
                <w:rFonts w:hint="eastAsia" w:ascii="宋体" w:hAnsi="宋体" w:cs="宋体"/>
                <w:sz w:val="24"/>
              </w:rPr>
              <w:t>9.09</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9.09</w:t>
            </w:r>
          </w:p>
        </w:tc>
        <w:tc>
          <w:tcPr>
            <w:tcW w:w="2268" w:type="dxa"/>
            <w:vAlign w:val="center"/>
          </w:tcPr>
          <w:p>
            <w:pPr>
              <w:widowControl/>
              <w:jc w:val="center"/>
              <w:rPr>
                <w:rFonts w:ascii="宋体" w:hAnsi="宋体" w:cs="宋体"/>
                <w:sz w:val="24"/>
              </w:rPr>
            </w:pPr>
            <w:r>
              <w:rPr>
                <w:rFonts w:hint="eastAsia" w:ascii="宋体" w:hAnsi="宋体" w:cs="宋体"/>
                <w:sz w:val="24"/>
              </w:rPr>
              <w:t>9.09</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政策法规普及宣传经费</w:t>
            </w:r>
          </w:p>
        </w:tc>
        <w:tc>
          <w:tcPr>
            <w:tcW w:w="2268" w:type="dxa"/>
            <w:vAlign w:val="center"/>
          </w:tcPr>
          <w:p>
            <w:pPr>
              <w:widowControl/>
              <w:jc w:val="center"/>
              <w:rPr>
                <w:rFonts w:ascii="宋体" w:hAnsi="宋体" w:cs="宋体"/>
                <w:kern w:val="0"/>
                <w:sz w:val="24"/>
              </w:rPr>
            </w:pPr>
            <w:r>
              <w:rPr>
                <w:rFonts w:hint="eastAsia" w:ascii="宋体" w:hAnsi="宋体" w:cs="宋体"/>
                <w:sz w:val="24"/>
              </w:rPr>
              <w:t>3.28</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3.28</w:t>
            </w:r>
          </w:p>
        </w:tc>
        <w:tc>
          <w:tcPr>
            <w:tcW w:w="2268" w:type="dxa"/>
            <w:vAlign w:val="center"/>
          </w:tcPr>
          <w:p>
            <w:pPr>
              <w:widowControl/>
              <w:jc w:val="center"/>
              <w:rPr>
                <w:rFonts w:ascii="宋体" w:hAnsi="宋体" w:cs="宋体"/>
                <w:sz w:val="24"/>
              </w:rPr>
            </w:pPr>
            <w:r>
              <w:rPr>
                <w:rFonts w:hint="eastAsia" w:ascii="宋体" w:hAnsi="宋体" w:cs="宋体"/>
                <w:sz w:val="24"/>
              </w:rPr>
              <w:t>3.28</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物业管理费</w:t>
            </w:r>
          </w:p>
        </w:tc>
        <w:tc>
          <w:tcPr>
            <w:tcW w:w="2268" w:type="dxa"/>
            <w:vAlign w:val="center"/>
          </w:tcPr>
          <w:p>
            <w:pPr>
              <w:widowControl/>
              <w:jc w:val="center"/>
              <w:rPr>
                <w:rFonts w:ascii="宋体" w:hAnsi="宋体" w:cs="宋体"/>
                <w:kern w:val="0"/>
                <w:sz w:val="24"/>
              </w:rPr>
            </w:pPr>
            <w:r>
              <w:rPr>
                <w:rFonts w:hint="eastAsia" w:ascii="宋体" w:hAnsi="宋体" w:cs="宋体"/>
                <w:sz w:val="24"/>
              </w:rPr>
              <w:t>27.24</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27.24</w:t>
            </w:r>
          </w:p>
        </w:tc>
        <w:tc>
          <w:tcPr>
            <w:tcW w:w="2268" w:type="dxa"/>
            <w:vAlign w:val="center"/>
          </w:tcPr>
          <w:p>
            <w:pPr>
              <w:widowControl/>
              <w:jc w:val="center"/>
              <w:rPr>
                <w:rFonts w:ascii="宋体" w:hAnsi="宋体" w:cs="宋体"/>
                <w:sz w:val="24"/>
              </w:rPr>
            </w:pPr>
            <w:r>
              <w:rPr>
                <w:rFonts w:hint="eastAsia" w:ascii="宋体" w:hAnsi="宋体" w:cs="宋体"/>
                <w:sz w:val="24"/>
              </w:rPr>
              <w:t>27.24</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专项档案整理保管费</w:t>
            </w:r>
          </w:p>
        </w:tc>
        <w:tc>
          <w:tcPr>
            <w:tcW w:w="2268" w:type="dxa"/>
            <w:vAlign w:val="center"/>
          </w:tcPr>
          <w:p>
            <w:pPr>
              <w:widowControl/>
              <w:jc w:val="center"/>
              <w:rPr>
                <w:rFonts w:ascii="宋体" w:hAnsi="宋体" w:cs="宋体"/>
                <w:kern w:val="0"/>
                <w:sz w:val="24"/>
              </w:rPr>
            </w:pPr>
            <w:r>
              <w:rPr>
                <w:rFonts w:hint="eastAsia" w:ascii="宋体" w:hAnsi="宋体" w:cs="宋体"/>
                <w:sz w:val="24"/>
              </w:rPr>
              <w:t>3</w:t>
            </w:r>
          </w:p>
        </w:tc>
        <w:tc>
          <w:tcPr>
            <w:tcW w:w="2268" w:type="dxa"/>
            <w:vAlign w:val="center"/>
          </w:tcPr>
          <w:p>
            <w:pPr>
              <w:widowControl/>
              <w:jc w:val="center"/>
              <w:rPr>
                <w:rFonts w:ascii="宋体" w:hAnsi="宋体" w:cs="宋体"/>
                <w:sz w:val="24"/>
              </w:rPr>
            </w:pPr>
            <w:r>
              <w:rPr>
                <w:rFonts w:hint="eastAsia" w:ascii="宋体" w:hAnsi="宋体" w:cs="宋体"/>
                <w:sz w:val="24"/>
              </w:rPr>
              <w:t>-0.2</w:t>
            </w:r>
          </w:p>
        </w:tc>
        <w:tc>
          <w:tcPr>
            <w:tcW w:w="2268" w:type="dxa"/>
            <w:vAlign w:val="center"/>
          </w:tcPr>
          <w:p>
            <w:pPr>
              <w:widowControl/>
              <w:jc w:val="center"/>
              <w:rPr>
                <w:rFonts w:ascii="宋体" w:hAnsi="宋体" w:cs="宋体"/>
                <w:sz w:val="24"/>
              </w:rPr>
            </w:pPr>
            <w:r>
              <w:rPr>
                <w:rFonts w:hint="eastAsia" w:ascii="宋体" w:hAnsi="宋体" w:cs="宋体"/>
                <w:sz w:val="24"/>
              </w:rPr>
              <w:t>2.8</w:t>
            </w:r>
          </w:p>
        </w:tc>
        <w:tc>
          <w:tcPr>
            <w:tcW w:w="2268" w:type="dxa"/>
            <w:vAlign w:val="center"/>
          </w:tcPr>
          <w:p>
            <w:pPr>
              <w:widowControl/>
              <w:jc w:val="center"/>
              <w:rPr>
                <w:rFonts w:ascii="宋体" w:hAnsi="宋体" w:cs="宋体"/>
                <w:sz w:val="24"/>
              </w:rPr>
            </w:pPr>
            <w:r>
              <w:rPr>
                <w:rFonts w:hint="eastAsia" w:ascii="宋体" w:hAnsi="宋体" w:cs="宋体"/>
                <w:sz w:val="24"/>
              </w:rPr>
              <w:t>2.8</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专项调研调查费</w:t>
            </w:r>
          </w:p>
        </w:tc>
        <w:tc>
          <w:tcPr>
            <w:tcW w:w="2268" w:type="dxa"/>
            <w:vAlign w:val="center"/>
          </w:tcPr>
          <w:p>
            <w:pPr>
              <w:widowControl/>
              <w:jc w:val="center"/>
              <w:rPr>
                <w:rFonts w:ascii="宋体" w:hAnsi="宋体" w:cs="宋体"/>
                <w:kern w:val="0"/>
                <w:sz w:val="24"/>
              </w:rPr>
            </w:pPr>
            <w:r>
              <w:rPr>
                <w:rFonts w:hint="eastAsia" w:ascii="宋体" w:hAnsi="宋体" w:cs="宋体"/>
                <w:sz w:val="24"/>
              </w:rPr>
              <w:t>4.75</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4.75</w:t>
            </w:r>
          </w:p>
        </w:tc>
        <w:tc>
          <w:tcPr>
            <w:tcW w:w="2268" w:type="dxa"/>
            <w:vAlign w:val="center"/>
          </w:tcPr>
          <w:p>
            <w:pPr>
              <w:widowControl/>
              <w:jc w:val="center"/>
              <w:rPr>
                <w:rFonts w:ascii="宋体" w:hAnsi="宋体" w:cs="宋体"/>
                <w:sz w:val="24"/>
              </w:rPr>
            </w:pPr>
            <w:r>
              <w:rPr>
                <w:rFonts w:hint="eastAsia" w:ascii="宋体" w:hAnsi="宋体" w:cs="宋体"/>
                <w:sz w:val="24"/>
              </w:rPr>
              <w:t>4.75</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专项培训费</w:t>
            </w:r>
          </w:p>
        </w:tc>
        <w:tc>
          <w:tcPr>
            <w:tcW w:w="2268" w:type="dxa"/>
            <w:vAlign w:val="center"/>
          </w:tcPr>
          <w:p>
            <w:pPr>
              <w:widowControl/>
              <w:jc w:val="center"/>
              <w:rPr>
                <w:rFonts w:ascii="宋体" w:hAnsi="宋体" w:cs="宋体"/>
                <w:kern w:val="0"/>
                <w:sz w:val="24"/>
              </w:rPr>
            </w:pPr>
            <w:r>
              <w:rPr>
                <w:rFonts w:hint="eastAsia" w:ascii="宋体" w:hAnsi="宋体" w:cs="宋体"/>
                <w:sz w:val="24"/>
              </w:rPr>
              <w:t>14.31</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14.31</w:t>
            </w:r>
          </w:p>
        </w:tc>
        <w:tc>
          <w:tcPr>
            <w:tcW w:w="2268" w:type="dxa"/>
            <w:vAlign w:val="center"/>
          </w:tcPr>
          <w:p>
            <w:pPr>
              <w:widowControl/>
              <w:jc w:val="center"/>
              <w:rPr>
                <w:rFonts w:ascii="宋体" w:hAnsi="宋体" w:cs="宋体"/>
                <w:sz w:val="24"/>
              </w:rPr>
            </w:pPr>
            <w:r>
              <w:rPr>
                <w:rFonts w:hint="eastAsia" w:ascii="宋体" w:hAnsi="宋体" w:cs="宋体"/>
                <w:sz w:val="24"/>
              </w:rPr>
              <w:t>14.31</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专项租赁费</w:t>
            </w:r>
          </w:p>
        </w:tc>
        <w:tc>
          <w:tcPr>
            <w:tcW w:w="2268" w:type="dxa"/>
            <w:vAlign w:val="center"/>
          </w:tcPr>
          <w:p>
            <w:pPr>
              <w:widowControl/>
              <w:jc w:val="center"/>
              <w:rPr>
                <w:rFonts w:ascii="宋体" w:hAnsi="宋体" w:cs="宋体"/>
                <w:kern w:val="0"/>
                <w:sz w:val="24"/>
              </w:rPr>
            </w:pPr>
            <w:r>
              <w:rPr>
                <w:rFonts w:hint="eastAsia" w:ascii="宋体" w:hAnsi="宋体" w:cs="宋体"/>
                <w:sz w:val="24"/>
              </w:rPr>
              <w:t>40</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40</w:t>
            </w:r>
          </w:p>
        </w:tc>
        <w:tc>
          <w:tcPr>
            <w:tcW w:w="2268" w:type="dxa"/>
            <w:vAlign w:val="center"/>
          </w:tcPr>
          <w:p>
            <w:pPr>
              <w:widowControl/>
              <w:jc w:val="center"/>
              <w:rPr>
                <w:rFonts w:ascii="宋体" w:hAnsi="宋体" w:cs="宋体"/>
                <w:sz w:val="24"/>
              </w:rPr>
            </w:pPr>
            <w:r>
              <w:rPr>
                <w:rFonts w:hint="eastAsia" w:ascii="宋体" w:hAnsi="宋体" w:cs="宋体"/>
                <w:sz w:val="24"/>
              </w:rPr>
              <w:t>40</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公益性应急救护培训</w:t>
            </w:r>
          </w:p>
        </w:tc>
        <w:tc>
          <w:tcPr>
            <w:tcW w:w="2268" w:type="dxa"/>
            <w:vAlign w:val="center"/>
          </w:tcPr>
          <w:p>
            <w:pPr>
              <w:widowControl/>
              <w:jc w:val="center"/>
              <w:rPr>
                <w:rFonts w:ascii="宋体" w:hAnsi="宋体" w:cs="宋体"/>
                <w:kern w:val="0"/>
                <w:sz w:val="24"/>
              </w:rPr>
            </w:pPr>
            <w:r>
              <w:rPr>
                <w:rFonts w:hint="eastAsia" w:ascii="宋体" w:hAnsi="宋体" w:cs="宋体"/>
                <w:sz w:val="24"/>
              </w:rPr>
              <w:t>59.3</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59.3</w:t>
            </w:r>
          </w:p>
        </w:tc>
        <w:tc>
          <w:tcPr>
            <w:tcW w:w="2268" w:type="dxa"/>
            <w:vAlign w:val="center"/>
          </w:tcPr>
          <w:p>
            <w:pPr>
              <w:widowControl/>
              <w:jc w:val="center"/>
              <w:rPr>
                <w:rFonts w:ascii="宋体" w:hAnsi="宋体" w:cs="宋体"/>
                <w:sz w:val="24"/>
              </w:rPr>
            </w:pPr>
            <w:r>
              <w:rPr>
                <w:rFonts w:hint="eastAsia" w:ascii="宋体" w:hAnsi="宋体" w:cs="宋体"/>
                <w:sz w:val="24"/>
              </w:rPr>
              <w:t>59.3</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党团活动经费</w:t>
            </w:r>
          </w:p>
        </w:tc>
        <w:tc>
          <w:tcPr>
            <w:tcW w:w="2268" w:type="dxa"/>
            <w:vAlign w:val="center"/>
          </w:tcPr>
          <w:p>
            <w:pPr>
              <w:widowControl/>
              <w:jc w:val="center"/>
              <w:rPr>
                <w:rFonts w:ascii="宋体" w:hAnsi="宋体" w:cs="宋体"/>
                <w:kern w:val="0"/>
                <w:sz w:val="24"/>
              </w:rPr>
            </w:pPr>
            <w:r>
              <w:rPr>
                <w:rFonts w:hint="eastAsia" w:ascii="宋体" w:hAnsi="宋体" w:cs="宋体"/>
                <w:sz w:val="24"/>
              </w:rPr>
              <w:t>2.1</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2.1</w:t>
            </w:r>
          </w:p>
        </w:tc>
        <w:tc>
          <w:tcPr>
            <w:tcW w:w="2268" w:type="dxa"/>
            <w:vAlign w:val="center"/>
          </w:tcPr>
          <w:p>
            <w:pPr>
              <w:widowControl/>
              <w:jc w:val="center"/>
              <w:rPr>
                <w:rFonts w:ascii="宋体" w:hAnsi="宋体" w:cs="宋体"/>
                <w:sz w:val="24"/>
              </w:rPr>
            </w:pPr>
            <w:r>
              <w:rPr>
                <w:rFonts w:hint="eastAsia" w:ascii="宋体" w:hAnsi="宋体" w:cs="宋体"/>
                <w:sz w:val="24"/>
              </w:rPr>
              <w:t>2.1</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办公设备购置</w:t>
            </w:r>
          </w:p>
        </w:tc>
        <w:tc>
          <w:tcPr>
            <w:tcW w:w="2268" w:type="dxa"/>
            <w:vAlign w:val="center"/>
          </w:tcPr>
          <w:p>
            <w:pPr>
              <w:widowControl/>
              <w:jc w:val="center"/>
              <w:rPr>
                <w:rFonts w:ascii="宋体" w:hAnsi="宋体" w:cs="宋体"/>
                <w:kern w:val="0"/>
                <w:sz w:val="24"/>
              </w:rPr>
            </w:pPr>
            <w:r>
              <w:rPr>
                <w:rFonts w:hint="eastAsia" w:ascii="宋体" w:hAnsi="宋体" w:cs="宋体"/>
                <w:sz w:val="24"/>
              </w:rPr>
              <w:t>5</w:t>
            </w:r>
          </w:p>
        </w:tc>
        <w:tc>
          <w:tcPr>
            <w:tcW w:w="2268" w:type="dxa"/>
            <w:vAlign w:val="center"/>
          </w:tcPr>
          <w:p>
            <w:pPr>
              <w:widowControl/>
              <w:jc w:val="center"/>
              <w:rPr>
                <w:rFonts w:ascii="宋体" w:hAnsi="宋体" w:cs="宋体"/>
                <w:sz w:val="24"/>
              </w:rPr>
            </w:pPr>
            <w:r>
              <w:rPr>
                <w:rFonts w:hint="eastAsia" w:ascii="宋体" w:hAnsi="宋体" w:cs="宋体"/>
                <w:sz w:val="24"/>
              </w:rPr>
              <w:t>-1.54</w:t>
            </w:r>
          </w:p>
        </w:tc>
        <w:tc>
          <w:tcPr>
            <w:tcW w:w="2268" w:type="dxa"/>
            <w:vAlign w:val="center"/>
          </w:tcPr>
          <w:p>
            <w:pPr>
              <w:widowControl/>
              <w:jc w:val="center"/>
              <w:rPr>
                <w:rFonts w:ascii="宋体" w:hAnsi="宋体" w:cs="宋体"/>
                <w:sz w:val="24"/>
              </w:rPr>
            </w:pPr>
            <w:r>
              <w:rPr>
                <w:rFonts w:hint="eastAsia" w:ascii="宋体" w:hAnsi="宋体" w:cs="宋体"/>
                <w:sz w:val="24"/>
              </w:rPr>
              <w:t>3.46</w:t>
            </w:r>
          </w:p>
        </w:tc>
        <w:tc>
          <w:tcPr>
            <w:tcW w:w="2268" w:type="dxa"/>
            <w:vAlign w:val="center"/>
          </w:tcPr>
          <w:p>
            <w:pPr>
              <w:widowControl/>
              <w:jc w:val="center"/>
              <w:rPr>
                <w:rFonts w:ascii="宋体" w:hAnsi="宋体" w:cs="宋体"/>
                <w:sz w:val="24"/>
              </w:rPr>
            </w:pPr>
            <w:r>
              <w:rPr>
                <w:rFonts w:hint="eastAsia" w:ascii="宋体" w:hAnsi="宋体" w:cs="宋体"/>
                <w:sz w:val="24"/>
              </w:rPr>
              <w:t>3.46</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体检疗养费</w:t>
            </w:r>
          </w:p>
        </w:tc>
        <w:tc>
          <w:tcPr>
            <w:tcW w:w="2268" w:type="dxa"/>
            <w:vAlign w:val="center"/>
          </w:tcPr>
          <w:p>
            <w:pPr>
              <w:widowControl/>
              <w:jc w:val="center"/>
              <w:rPr>
                <w:rFonts w:ascii="宋体" w:hAnsi="宋体" w:cs="宋体"/>
                <w:kern w:val="0"/>
                <w:sz w:val="24"/>
              </w:rPr>
            </w:pPr>
            <w:r>
              <w:rPr>
                <w:rFonts w:hint="eastAsia" w:ascii="宋体" w:hAnsi="宋体" w:cs="宋体"/>
                <w:sz w:val="24"/>
              </w:rPr>
              <w:t>4.7</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4.7</w:t>
            </w:r>
          </w:p>
        </w:tc>
        <w:tc>
          <w:tcPr>
            <w:tcW w:w="2268" w:type="dxa"/>
            <w:vAlign w:val="center"/>
          </w:tcPr>
          <w:p>
            <w:pPr>
              <w:widowControl/>
              <w:jc w:val="center"/>
              <w:rPr>
                <w:rFonts w:ascii="宋体" w:hAnsi="宋体" w:cs="宋体"/>
                <w:sz w:val="24"/>
              </w:rPr>
            </w:pPr>
            <w:r>
              <w:rPr>
                <w:rFonts w:hint="eastAsia" w:ascii="宋体" w:hAnsi="宋体" w:cs="宋体"/>
                <w:sz w:val="24"/>
              </w:rPr>
              <w:t>4.7</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伙食经费</w:t>
            </w:r>
          </w:p>
        </w:tc>
        <w:tc>
          <w:tcPr>
            <w:tcW w:w="2268" w:type="dxa"/>
            <w:vAlign w:val="center"/>
          </w:tcPr>
          <w:p>
            <w:pPr>
              <w:widowControl/>
              <w:jc w:val="center"/>
              <w:rPr>
                <w:rFonts w:ascii="宋体" w:hAnsi="宋体" w:cs="宋体"/>
                <w:kern w:val="0"/>
                <w:sz w:val="24"/>
              </w:rPr>
            </w:pPr>
            <w:r>
              <w:rPr>
                <w:rFonts w:hint="eastAsia" w:ascii="宋体" w:hAnsi="宋体" w:cs="宋体"/>
                <w:sz w:val="24"/>
              </w:rPr>
              <w:t>15.81</w:t>
            </w:r>
          </w:p>
        </w:tc>
        <w:tc>
          <w:tcPr>
            <w:tcW w:w="2268" w:type="dxa"/>
            <w:vAlign w:val="center"/>
          </w:tcPr>
          <w:p>
            <w:pPr>
              <w:widowControl/>
              <w:jc w:val="center"/>
              <w:rPr>
                <w:rFonts w:ascii="宋体" w:hAnsi="宋体" w:cs="宋体"/>
                <w:sz w:val="24"/>
              </w:rPr>
            </w:pPr>
            <w:r>
              <w:rPr>
                <w:rFonts w:hint="eastAsia" w:ascii="宋体" w:hAnsi="宋体" w:cs="宋体"/>
                <w:sz w:val="24"/>
              </w:rPr>
              <w:t>0.44</w:t>
            </w:r>
          </w:p>
        </w:tc>
        <w:tc>
          <w:tcPr>
            <w:tcW w:w="2268" w:type="dxa"/>
            <w:vAlign w:val="center"/>
          </w:tcPr>
          <w:p>
            <w:pPr>
              <w:widowControl/>
              <w:jc w:val="center"/>
              <w:rPr>
                <w:rFonts w:ascii="宋体" w:hAnsi="宋体" w:cs="宋体"/>
                <w:sz w:val="24"/>
              </w:rPr>
            </w:pPr>
            <w:r>
              <w:rPr>
                <w:rFonts w:hint="eastAsia" w:ascii="宋体" w:hAnsi="宋体" w:cs="宋体"/>
                <w:sz w:val="24"/>
              </w:rPr>
              <w:t>16.25</w:t>
            </w:r>
          </w:p>
        </w:tc>
        <w:tc>
          <w:tcPr>
            <w:tcW w:w="2268" w:type="dxa"/>
            <w:vAlign w:val="center"/>
          </w:tcPr>
          <w:p>
            <w:pPr>
              <w:widowControl/>
              <w:jc w:val="center"/>
              <w:rPr>
                <w:rFonts w:ascii="宋体" w:hAnsi="宋体" w:cs="宋体"/>
                <w:sz w:val="24"/>
              </w:rPr>
            </w:pPr>
            <w:r>
              <w:rPr>
                <w:rFonts w:hint="eastAsia" w:ascii="宋体" w:hAnsi="宋体" w:cs="宋体"/>
                <w:sz w:val="24"/>
              </w:rPr>
              <w:t>16.25</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红十字公益服务工作经费</w:t>
            </w:r>
          </w:p>
        </w:tc>
        <w:tc>
          <w:tcPr>
            <w:tcW w:w="2268" w:type="dxa"/>
            <w:vAlign w:val="center"/>
          </w:tcPr>
          <w:p>
            <w:pPr>
              <w:widowControl/>
              <w:jc w:val="center"/>
              <w:rPr>
                <w:rFonts w:ascii="宋体" w:hAnsi="宋体" w:cs="宋体"/>
                <w:kern w:val="0"/>
                <w:sz w:val="24"/>
              </w:rPr>
            </w:pPr>
            <w:r>
              <w:rPr>
                <w:rFonts w:hint="eastAsia" w:ascii="宋体" w:hAnsi="宋体" w:cs="宋体"/>
                <w:sz w:val="24"/>
              </w:rPr>
              <w:t>49.8</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49.8</w:t>
            </w:r>
          </w:p>
        </w:tc>
        <w:tc>
          <w:tcPr>
            <w:tcW w:w="2268" w:type="dxa"/>
            <w:vAlign w:val="center"/>
          </w:tcPr>
          <w:p>
            <w:pPr>
              <w:widowControl/>
              <w:jc w:val="center"/>
              <w:rPr>
                <w:rFonts w:ascii="宋体" w:hAnsi="宋体" w:cs="宋体"/>
                <w:sz w:val="24"/>
              </w:rPr>
            </w:pPr>
            <w:r>
              <w:rPr>
                <w:rFonts w:hint="eastAsia" w:ascii="宋体" w:hAnsi="宋体" w:cs="宋体"/>
                <w:sz w:val="24"/>
              </w:rPr>
              <w:t>49.8</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c>
          <w:tcPr>
            <w:tcW w:w="3079" w:type="dxa"/>
            <w:vAlign w:val="center"/>
          </w:tcPr>
          <w:p>
            <w:pPr>
              <w:widowControl/>
              <w:jc w:val="left"/>
              <w:rPr>
                <w:rFonts w:ascii="宋体" w:hAnsi="宋体" w:cs="宋体"/>
                <w:kern w:val="0"/>
                <w:sz w:val="24"/>
              </w:rPr>
            </w:pPr>
            <w:r>
              <w:rPr>
                <w:rFonts w:hint="eastAsia" w:ascii="宋体" w:hAnsi="宋体" w:cs="宋体"/>
                <w:sz w:val="24"/>
              </w:rPr>
              <w:t>专设机构工作经费</w:t>
            </w:r>
          </w:p>
        </w:tc>
        <w:tc>
          <w:tcPr>
            <w:tcW w:w="2268" w:type="dxa"/>
            <w:vAlign w:val="center"/>
          </w:tcPr>
          <w:p>
            <w:pPr>
              <w:widowControl/>
              <w:jc w:val="center"/>
              <w:rPr>
                <w:rFonts w:ascii="宋体" w:hAnsi="宋体" w:cs="宋体"/>
                <w:kern w:val="0"/>
                <w:sz w:val="24"/>
              </w:rPr>
            </w:pPr>
            <w:r>
              <w:rPr>
                <w:rFonts w:hint="eastAsia" w:ascii="宋体" w:hAnsi="宋体" w:cs="宋体"/>
                <w:sz w:val="24"/>
              </w:rPr>
              <w:t>3</w:t>
            </w:r>
          </w:p>
        </w:tc>
        <w:tc>
          <w:tcPr>
            <w:tcW w:w="2268" w:type="dxa"/>
            <w:vAlign w:val="center"/>
          </w:tcPr>
          <w:p>
            <w:pPr>
              <w:widowControl/>
              <w:jc w:val="center"/>
              <w:rPr>
                <w:rFonts w:ascii="宋体" w:hAnsi="宋体" w:cs="宋体"/>
                <w:sz w:val="24"/>
              </w:rPr>
            </w:pPr>
            <w:r>
              <w:rPr>
                <w:rFonts w:hint="eastAsia" w:ascii="宋体" w:hAnsi="宋体" w:cs="宋体"/>
                <w:sz w:val="24"/>
              </w:rPr>
              <w:t>0</w:t>
            </w:r>
          </w:p>
        </w:tc>
        <w:tc>
          <w:tcPr>
            <w:tcW w:w="2268" w:type="dxa"/>
            <w:vAlign w:val="center"/>
          </w:tcPr>
          <w:p>
            <w:pPr>
              <w:widowControl/>
              <w:jc w:val="center"/>
              <w:rPr>
                <w:rFonts w:ascii="宋体" w:hAnsi="宋体" w:cs="宋体"/>
                <w:sz w:val="24"/>
              </w:rPr>
            </w:pPr>
            <w:r>
              <w:rPr>
                <w:rFonts w:hint="eastAsia" w:ascii="宋体" w:hAnsi="宋体" w:cs="宋体"/>
                <w:sz w:val="24"/>
              </w:rPr>
              <w:t>3</w:t>
            </w:r>
          </w:p>
        </w:tc>
        <w:tc>
          <w:tcPr>
            <w:tcW w:w="2268" w:type="dxa"/>
            <w:vAlign w:val="center"/>
          </w:tcPr>
          <w:p>
            <w:pPr>
              <w:widowControl/>
              <w:jc w:val="center"/>
              <w:rPr>
                <w:rFonts w:ascii="宋体" w:hAnsi="宋体" w:cs="宋体"/>
                <w:sz w:val="24"/>
              </w:rPr>
            </w:pPr>
            <w:r>
              <w:rPr>
                <w:rFonts w:hint="eastAsia" w:ascii="宋体" w:hAnsi="宋体" w:cs="宋体"/>
                <w:sz w:val="24"/>
              </w:rPr>
              <w:t>3</w:t>
            </w:r>
          </w:p>
        </w:tc>
        <w:tc>
          <w:tcPr>
            <w:tcW w:w="2268" w:type="dxa"/>
            <w:vAlign w:val="center"/>
          </w:tcPr>
          <w:p>
            <w:pPr>
              <w:widowControl/>
              <w:jc w:val="center"/>
              <w:rPr>
                <w:rFonts w:ascii="宋体" w:hAnsi="宋体" w:cs="宋体"/>
                <w:sz w:val="24"/>
              </w:rPr>
            </w:pPr>
            <w:r>
              <w:rPr>
                <w:rFonts w:hint="eastAsia" w:ascii="宋体" w:hAnsi="宋体" w:cs="宋体"/>
                <w:sz w:val="24"/>
              </w:rPr>
              <w:t>100.00%</w:t>
            </w:r>
          </w:p>
        </w:tc>
      </w:tr>
    </w:tbl>
    <w:p w14:paraId="131ACE80">
      <w:pPr>
        <w:spacing w:line="360" w:lineRule="auto"/>
        <w:ind w:left="600"/>
        <w:rPr>
          <w:rFonts w:ascii="黑体" w:hAnsi="黑体" w:eastAsia="黑体"/>
          <w:sz w:val="30"/>
        </w:rPr>
      </w:pPr>
    </w:p>
    <w:p w14:paraId="74045F82">
      <w:pPr>
        <w:numPr>
          <w:ilvl w:val="0"/>
          <w:numId w:val="1"/>
        </w:numPr>
        <w:spacing w:line="360" w:lineRule="auto"/>
        <w:ind w:left="600"/>
        <w:rPr>
          <w:rFonts w:ascii="黑体" w:hAnsi="黑体" w:eastAsia="黑体"/>
          <w:sz w:val="30"/>
        </w:rPr>
      </w:pPr>
      <w:r>
        <w:rPr>
          <w:rFonts w:hint="eastAsia" w:ascii="黑体" w:hAnsi="黑体" w:eastAsia="黑体"/>
          <w:sz w:val="30"/>
        </w:rPr>
        <w:t>年度重点任务</w:t>
      </w:r>
    </w:p>
    <w:p w14:paraId="0D3A1920">
      <w:pPr>
        <w:spacing w:line="360" w:lineRule="auto"/>
        <w:ind w:left="600"/>
        <w:rPr>
          <w:rFonts w:ascii="黑体" w:hAnsi="黑体" w:eastAsia="黑体"/>
          <w:sz w:val="30"/>
        </w:rPr>
      </w:pPr>
    </w:p>
    <w:tbl>
      <w:tblPr>
        <w:tblStyle w:val="5"/>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3818"/>
        <w:gridCol w:w="6280"/>
      </w:tblGrid>
      <w:tr w14:paraId="4FD8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419" w:type="dxa"/>
            <w:shd w:val="clear" w:color="000000" w:fill="BFBFBF"/>
            <w:vAlign w:val="center"/>
          </w:tcPr>
          <w:p w14:paraId="1644DE46">
            <w:pPr>
              <w:widowControl/>
              <w:jc w:val="center"/>
              <w:rPr>
                <w:rFonts w:ascii="宋体" w:hAnsi="宋体" w:cs="宋体"/>
                <w:b/>
                <w:bCs/>
                <w:kern w:val="0"/>
                <w:sz w:val="24"/>
              </w:rPr>
            </w:pPr>
          </w:p>
          <w:p w14:paraId="5858CDEA">
            <w:pPr>
              <w:widowControl/>
              <w:jc w:val="center"/>
              <w:rPr>
                <w:rFonts w:ascii="宋体" w:hAnsi="宋体" w:cs="宋体"/>
                <w:b/>
                <w:bCs/>
                <w:kern w:val="0"/>
                <w:sz w:val="24"/>
              </w:rPr>
            </w:pPr>
            <w:r>
              <w:rPr>
                <w:rFonts w:hint="eastAsia" w:ascii="宋体" w:hAnsi="宋体" w:cs="宋体"/>
                <w:b/>
                <w:bCs/>
                <w:kern w:val="0"/>
                <w:sz w:val="24"/>
              </w:rPr>
              <w:t>对应部门主要职责</w:t>
            </w:r>
          </w:p>
          <w:p w14:paraId="3F9E1C75">
            <w:pPr>
              <w:widowControl/>
              <w:jc w:val="center"/>
              <w:rPr>
                <w:rFonts w:ascii="宋体" w:hAnsi="宋体" w:cs="宋体"/>
                <w:b/>
                <w:bCs/>
                <w:kern w:val="0"/>
                <w:sz w:val="24"/>
              </w:rPr>
            </w:pPr>
            <w:r>
              <w:rPr>
                <w:rFonts w:hint="eastAsia" w:ascii="宋体" w:hAnsi="宋体" w:cs="宋体"/>
                <w:b/>
                <w:bCs/>
                <w:kern w:val="0"/>
                <w:sz w:val="24"/>
              </w:rPr>
              <w:t/>
            </w:r>
          </w:p>
        </w:tc>
        <w:tc>
          <w:tcPr>
            <w:tcW w:w="3818" w:type="dxa"/>
            <w:shd w:val="clear" w:color="000000" w:fill="BFBFBF"/>
            <w:vAlign w:val="center"/>
          </w:tcPr>
          <w:p w14:paraId="561C96F1">
            <w:pPr>
              <w:widowControl/>
              <w:jc w:val="center"/>
              <w:rPr>
                <w:rFonts w:ascii="宋体" w:hAnsi="宋体" w:cs="宋体"/>
                <w:b/>
                <w:bCs/>
                <w:kern w:val="0"/>
                <w:sz w:val="24"/>
              </w:rPr>
            </w:pPr>
            <w:r>
              <w:rPr>
                <w:rFonts w:hint="eastAsia" w:ascii="宋体" w:hAnsi="宋体" w:cs="宋体"/>
                <w:b/>
                <w:bCs/>
                <w:kern w:val="0"/>
                <w:sz w:val="24"/>
              </w:rPr>
              <w:t>任务名称</w:t>
            </w:r>
          </w:p>
        </w:tc>
        <w:tc>
          <w:tcPr>
            <w:tcW w:w="6280" w:type="dxa"/>
            <w:shd w:val="clear" w:color="000000" w:fill="BFBFBF"/>
            <w:vAlign w:val="center"/>
          </w:tcPr>
          <w:p w14:paraId="77A795C7">
            <w:pPr>
              <w:widowControl/>
              <w:jc w:val="center"/>
              <w:rPr>
                <w:rFonts w:ascii="宋体" w:hAnsi="宋体" w:cs="宋体"/>
                <w:b/>
                <w:bCs/>
                <w:kern w:val="0"/>
                <w:sz w:val="24"/>
              </w:rPr>
            </w:pPr>
            <w:r>
              <w:rPr>
                <w:rFonts w:hint="eastAsia" w:ascii="宋体" w:hAnsi="宋体" w:cs="宋体"/>
                <w:b/>
                <w:bCs/>
                <w:kern w:val="0"/>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hint="eastAsia" w:ascii="宋体" w:hAnsi="宋体" w:cs="宋体"/>
                <w:sz w:val="24"/>
              </w:rPr>
              <w:t>参与宣传和推动无偿献血与造血干细胞捐献者工作，大力宣传和推动造血干细胞、遗体和器官捐献工作。</w:t>
            </w:r>
          </w:p>
        </w:tc>
        <w:tc>
          <w:tcPr>
            <w:tcW w:w="3818" w:type="dxa"/>
            <w:vAlign w:val="center"/>
          </w:tcPr>
          <w:p>
            <w:pPr>
              <w:widowControl/>
              <w:jc w:val="center"/>
              <w:rPr>
                <w:rFonts w:ascii="宋体" w:hAnsi="宋体" w:cs="宋体"/>
                <w:sz w:val="24"/>
              </w:rPr>
            </w:pPr>
            <w:r>
              <w:rPr>
                <w:rFonts w:hint="eastAsia" w:ascii="宋体" w:hAnsi="宋体" w:cs="宋体"/>
                <w:sz w:val="24"/>
              </w:rPr>
              <w:t>开展无偿献血宣传项目</w:t>
            </w:r>
          </w:p>
        </w:tc>
        <w:tc>
          <w:tcPr>
            <w:tcW w:w="6280" w:type="dxa"/>
            <w:vAlign w:val="center"/>
          </w:tcPr>
          <w:p>
            <w:pPr>
              <w:widowControl/>
              <w:jc w:val="center"/>
              <w:rPr>
                <w:rFonts w:ascii="宋体" w:hAnsi="宋体" w:cs="宋体"/>
                <w:sz w:val="24"/>
              </w:rPr>
            </w:pPr>
            <w:r>
              <w:rPr>
                <w:rFonts w:hint="eastAsia" w:ascii="宋体" w:hAnsi="宋体" w:cs="宋体"/>
                <w:sz w:val="24"/>
              </w:rPr>
              <w:t>小血滴献血宣传项目全年在开展专项宣传活动12次，普及宣传人数超2万人，采样入库志愿者83人，超额完成项目既定目标。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hint="eastAsia" w:ascii="宋体" w:hAnsi="宋体" w:cs="宋体"/>
                <w:sz w:val="24"/>
              </w:rPr>
              <w:t/>
            </w:r>
          </w:p>
        </w:tc>
        <w:tc>
          <w:tcPr>
            <w:tcW w:w="3818" w:type="dxa"/>
            <w:vAlign w:val="center"/>
          </w:tcPr>
          <w:p>
            <w:pPr>
              <w:widowControl/>
              <w:jc w:val="center"/>
              <w:rPr>
                <w:rFonts w:ascii="宋体" w:hAnsi="宋体" w:cs="宋体"/>
                <w:sz w:val="24"/>
              </w:rPr>
            </w:pPr>
            <w:r>
              <w:rPr>
                <w:rFonts w:hint="eastAsia" w:ascii="宋体" w:hAnsi="宋体" w:cs="宋体"/>
                <w:sz w:val="24"/>
              </w:rPr>
              <w:t>组织开展骨髓捐献者日志愿者活动</w:t>
            </w:r>
          </w:p>
        </w:tc>
        <w:tc>
          <w:tcPr>
            <w:tcW w:w="6280" w:type="dxa"/>
            <w:vAlign w:val="center"/>
          </w:tcPr>
          <w:p>
            <w:pPr>
              <w:widowControl/>
              <w:jc w:val="center"/>
              <w:rPr>
                <w:rFonts w:ascii="宋体" w:hAnsi="宋体" w:cs="宋体"/>
                <w:sz w:val="24"/>
              </w:rPr>
            </w:pPr>
            <w:r>
              <w:rPr>
                <w:rFonts w:hint="eastAsia" w:ascii="宋体" w:hAnsi="宋体" w:cs="宋体"/>
                <w:sz w:val="24"/>
              </w:rPr>
              <w:t>扎实推动造血干细胞宣传和捐献工作，完成造血干细胞报名采样2573人份。严控再动员反悔率，将捐献服务重心前移，实现造血干细胞捐献42例，同比增长75%，创历史新高。其中，吴江区成功捐献达10例，昆山市、吴中区、常熟市均在6例以上，常熟市实现1例对外捐献。累计4.2万名志愿者加入中华骨髓库，成功捐献276例，位居全省第一。规范开展遗体器官捐献工作，募集资金完成捐献纪念园改造工程，更好服务捐献者家属。新增报名登记人体器官捐献志愿者2631人，实现遗体捐献140例；实现器官捐献28例，实现角膜捐献97例。清明节前夕，在红十字捐献纪念园举办“生命 礼赞”深切缅怀遗体、人体器官（角膜）捐献者活动。加强对捐献志愿者及家属的关怀礼遇，对捐献者家属开展暖心慰问。相城区为捐遗志愿者提供家庭医生健康管理服务。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c>
          <w:tcPr>
            <w:tcW w:w="3419" w:type="dxa"/>
            <w:vAlign w:val="center"/>
          </w:tcPr>
          <w:tcPr>
            <w:vMerge w:val="restart"/>
          </w:tcPr>
          <w:p>
            <w:pPr>
              <w:widowControl/>
              <w:jc w:val="center"/>
              <w:rPr>
                <w:rFonts w:ascii="宋体" w:hAnsi="宋体" w:cs="宋体"/>
                <w:kern w:val="0"/>
                <w:sz w:val="24"/>
              </w:rPr>
            </w:pPr>
            <w:r>
              <w:rPr>
                <w:rFonts w:hint="eastAsia" w:ascii="宋体" w:hAnsi="宋体" w:cs="宋体"/>
                <w:sz w:val="24"/>
              </w:rPr>
              <w:t>发展志愿者队伍，组织会员和志愿者开展人道领域内的社区服务、社会救助和社会公益活动；组织开展群众性初级救护训练，组织群众参加意外伤害和自然灾害的现场保护。</w:t>
            </w:r>
          </w:p>
        </w:tc>
        <w:tc>
          <w:tcPr>
            <w:tcW w:w="3818" w:type="dxa"/>
            <w:vAlign w:val="center"/>
          </w:tcPr>
          <w:p>
            <w:pPr>
              <w:widowControl/>
              <w:jc w:val="center"/>
              <w:rPr>
                <w:rFonts w:ascii="宋体" w:hAnsi="宋体" w:cs="宋体"/>
                <w:sz w:val="24"/>
              </w:rPr>
            </w:pPr>
            <w:r>
              <w:rPr>
                <w:rFonts w:hint="eastAsia" w:ascii="宋体" w:hAnsi="宋体" w:cs="宋体"/>
                <w:sz w:val="24"/>
              </w:rPr>
              <w:t>做好博爱家园建设工作</w:t>
            </w:r>
          </w:p>
        </w:tc>
        <w:tc>
          <w:tcPr>
            <w:tcW w:w="6280" w:type="dxa"/>
            <w:vAlign w:val="center"/>
          </w:tcPr>
          <w:p>
            <w:pPr>
              <w:widowControl/>
              <w:jc w:val="center"/>
              <w:rPr>
                <w:rFonts w:ascii="宋体" w:hAnsi="宋体" w:cs="宋体"/>
                <w:sz w:val="24"/>
              </w:rPr>
            </w:pPr>
            <w:r>
              <w:rPr>
                <w:rFonts w:hint="eastAsia" w:ascii="宋体" w:hAnsi="宋体" w:cs="宋体"/>
                <w:sz w:val="24"/>
              </w:rPr>
              <w:t>基层阵地融合发展。新建博爱家园10个，全市112个博爱家园开展活动1207场次，服务社区群众4.2万人次。新增注册志愿者1.2万人，新增志愿服务组织95个，向总会申请并获批永久会员单位1个，向省红十字会推荐申报5星级志愿者6人，市本级评选4星级志愿者11人。认真做好总会《红十字医疗卫生机构管理办法》学习宣传，全覆盖走访全市三甲以上冠名医疗卫生机构，加强沟通联系，征求意见建议。广泛动员会员单位和冠名医疗机构，深入基层开展“红十字博爱送健康”活动。全市红会系统组织开展各类义诊科普宣传活动464场，服务群众3.7万人次。中国红十字会副会长王斌、梁宇及10多个国家红十字会和国际组织负责人先后考察吴江区、昆山市、姑苏区、高新区红十字基层阵地，并给予高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c>
          <w:tcPr>
            <w:tcW w:w="3419" w:type="dxa"/>
            <w:vAlign w:val="center"/>
          </w:tcPr>
          <w:tcPr>
            <w:vMerge w:val="continue"/>
          </w:tcPr>
          <w:p>
            <w:pPr>
              <w:widowControl/>
              <w:jc w:val="center"/>
              <w:rPr>
                <w:rFonts w:ascii="宋体" w:hAnsi="宋体" w:cs="宋体"/>
                <w:kern w:val="0"/>
                <w:sz w:val="24"/>
              </w:rPr>
            </w:pPr>
            <w:r>
              <w:rPr>
                <w:rFonts w:hint="eastAsia" w:ascii="宋体" w:hAnsi="宋体" w:cs="宋体"/>
                <w:sz w:val="24"/>
              </w:rPr>
              <w:t/>
            </w:r>
          </w:p>
        </w:tc>
        <w:tc>
          <w:tcPr>
            <w:tcW w:w="3818" w:type="dxa"/>
            <w:vAlign w:val="center"/>
          </w:tcPr>
          <w:p>
            <w:pPr>
              <w:widowControl/>
              <w:jc w:val="center"/>
              <w:rPr>
                <w:rFonts w:ascii="宋体" w:hAnsi="宋体" w:cs="宋体"/>
                <w:sz w:val="24"/>
              </w:rPr>
            </w:pPr>
            <w:r>
              <w:rPr>
                <w:rFonts w:hint="eastAsia" w:ascii="宋体" w:hAnsi="宋体" w:cs="宋体"/>
                <w:sz w:val="24"/>
              </w:rPr>
              <w:t>开展应急救护培训</w:t>
            </w:r>
          </w:p>
        </w:tc>
        <w:tc>
          <w:tcPr>
            <w:tcW w:w="6280" w:type="dxa"/>
            <w:vAlign w:val="center"/>
          </w:tcPr>
          <w:p>
            <w:pPr>
              <w:widowControl/>
              <w:jc w:val="center"/>
              <w:rPr>
                <w:rFonts w:ascii="宋体" w:hAnsi="宋体" w:cs="宋体"/>
                <w:sz w:val="24"/>
              </w:rPr>
            </w:pPr>
            <w:r>
              <w:rPr>
                <w:rFonts w:hint="eastAsia" w:ascii="宋体" w:hAnsi="宋体" w:cs="宋体"/>
                <w:sz w:val="24"/>
              </w:rPr>
              <w:t>基层阵地融合发展。新建博爱家园10个，全市112个博爱家园开展活动1207场次，服务社区群众4.2万人次。新增注册志愿者1.2万人，新增志愿服务组织95个，向总会申请并获批永久会员单位1个，向省红十字会推荐申报5星级志愿者6人，市本级评选4星级志愿者11人。认真做好总会《红十字医疗卫生机构管理办法》学习宣传，全覆盖走访全市三甲以上冠名医疗卫生机构，加强沟通联系，征求意见建议。广泛动员会员单位和冠名医疗机构，深入基层开展“红十字博爱送健康”活动。全市红会系统组织开展各类义诊科普宣传活动464场，服务群众3.7万人次。中国红十字会副会长王斌、梁宇及10多个国家红十字会和国际组织负责人先后紧密联系教育局、民政局、慈善总会、轨交集团等单位，牵头实施“AED倍增工程”民生实事项目，全市新增配置AED3187台。联合共建“AED设备+急救志愿者+应急调度系统”公共应急模式，提高苏州重特大突发事件医疗应急处置能力，政企联动探索华东地区首个“黄金四分钟”医疗城市救援圈，助力苏州建成医疗应急重点试点城市。为AED倍增工程配套开展应急救护培训，全市共培训21.67万人次。组队参加全省急救先锋技能大赛，勇夺团体一等奖。举办全市应急救护技能大赛，昆山市获团体特等奖。年内，全市在公共场所使用AED成功救治突发病患33人，其中西交利物浦大学成功救治外籍学生，轨交2号线成功救治乘客的新闻被广泛报道。助力安全生产“六化”示范村创建，定向捐赠AED，开设专场应急救护知识和技能培训班。为企业提供个性化救护培训项目，助力营造良好营商环境。加强全市应急救护培训标准化和规范化建设，通过举办应急救护培训示范教学培训班、上门送训等方式，培训各地师资300余人次，有效促进应急救护培训质量提升。常熟市、姑苏区着力打造标准化数字化救护培训基地。太仓市将AED配置信息融入120急救调度指挥平台，方便快速取用。姑苏区持续募资新增AED配置300台。高新区联合慈善总会实施“生命守护计划”，拓宽AED覆盖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c>
          <w:tcPr>
            <w:tcW w:w="3419" w:type="dxa"/>
            <w:vAlign w:val="center"/>
          </w:tcPr>
          <w:p>
            <w:pPr>
              <w:widowControl/>
              <w:jc w:val="center"/>
              <w:rPr>
                <w:rFonts w:ascii="宋体" w:hAnsi="宋体" w:cs="宋体"/>
                <w:kern w:val="0"/>
                <w:sz w:val="24"/>
              </w:rPr>
            </w:pPr>
            <w:r>
              <w:rPr>
                <w:rFonts w:hint="eastAsia" w:ascii="宋体" w:hAnsi="宋体" w:cs="宋体"/>
                <w:sz w:val="24"/>
              </w:rPr>
              <w:t>开展备灾救灾工作，争取境内外的援助，在自然灾害和突发事件中，对伤病人员和其他受害者进行救助；积极参加灾后重建及救济工作；参加国际人道主义救援工作。</w:t>
            </w:r>
          </w:p>
        </w:tc>
        <w:tc>
          <w:tcPr>
            <w:tcW w:w="3818" w:type="dxa"/>
            <w:vAlign w:val="center"/>
          </w:tcPr>
          <w:p>
            <w:pPr>
              <w:widowControl/>
              <w:jc w:val="center"/>
              <w:rPr>
                <w:rFonts w:ascii="宋体" w:hAnsi="宋体" w:cs="宋体"/>
                <w:sz w:val="24"/>
              </w:rPr>
            </w:pPr>
            <w:r>
              <w:rPr>
                <w:rFonts w:hint="eastAsia" w:ascii="宋体" w:hAnsi="宋体" w:cs="宋体"/>
                <w:sz w:val="24"/>
              </w:rPr>
              <w:t>开展红十字应急救援队训练</w:t>
            </w:r>
          </w:p>
        </w:tc>
        <w:tc>
          <w:tcPr>
            <w:tcW w:w="6280" w:type="dxa"/>
            <w:vAlign w:val="center"/>
          </w:tcPr>
          <w:p>
            <w:pPr>
              <w:widowControl/>
              <w:jc w:val="center"/>
              <w:rPr>
                <w:rFonts w:ascii="宋体" w:hAnsi="宋体" w:cs="宋体"/>
                <w:sz w:val="24"/>
              </w:rPr>
            </w:pPr>
            <w:r>
              <w:rPr>
                <w:rFonts w:hint="eastAsia" w:ascii="宋体" w:hAnsi="宋体" w:cs="宋体"/>
                <w:sz w:val="24"/>
              </w:rPr>
              <w:t>坚持日常训练和专项训练相结合，全面提升救援队专业化实战化水平。组织救援队参加“5·12”全国防灾减灾周、“6·16”国家安全生产月宣传活动，开展普及培训50场，2859人次受益；选派救援队员为金鸡湖龙舟赛1400余名选手提供安全保障。结合学生暑假，与教育系统联合实施预防溺水·救在身边——“博爱泳安”公益项目，面向学校、社区，组织开展防灾避险知识“三进”活动。主动对接园林系统，利用清明、五一等重要节假日，开展景区救援救护服务保障。推动救援队与博爱家园结对，深入社区开展救护培训、防灾减灾救灾知识普及等志愿服务，提高居民自救互救能力。张家港市建成启动备灾救灾物资储备库，联合市应急局启动“应急第一响应人”队伍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c>
          <w:tcPr>
            <w:tcW w:w="3419" w:type="dxa"/>
            <w:vAlign w:val="center"/>
          </w:tcPr>
          <w:p>
            <w:pPr>
              <w:widowControl/>
              <w:jc w:val="center"/>
              <w:rPr>
                <w:rFonts w:ascii="宋体" w:hAnsi="宋体" w:cs="宋体"/>
                <w:kern w:val="0"/>
                <w:sz w:val="24"/>
              </w:rPr>
            </w:pPr>
            <w:r>
              <w:rPr>
                <w:rFonts w:hint="eastAsia" w:ascii="宋体" w:hAnsi="宋体" w:cs="宋体"/>
                <w:sz w:val="24"/>
              </w:rPr>
              <w:t>开展弘扬爱国主义、集体主义和人道主义精神的有益于青少年身心健康的红十字青少年活动。</w:t>
            </w:r>
          </w:p>
        </w:tc>
        <w:tc>
          <w:tcPr>
            <w:tcW w:w="3818" w:type="dxa"/>
            <w:vAlign w:val="center"/>
          </w:tcPr>
          <w:p>
            <w:pPr>
              <w:widowControl/>
              <w:jc w:val="center"/>
              <w:rPr>
                <w:rFonts w:ascii="宋体" w:hAnsi="宋体" w:cs="宋体"/>
                <w:sz w:val="24"/>
              </w:rPr>
            </w:pPr>
            <w:r>
              <w:rPr>
                <w:rFonts w:hint="eastAsia" w:ascii="宋体" w:hAnsi="宋体" w:cs="宋体"/>
                <w:sz w:val="24"/>
              </w:rPr>
              <w:t>组织开展博爱青春项目</w:t>
            </w:r>
          </w:p>
        </w:tc>
        <w:tc>
          <w:tcPr>
            <w:tcW w:w="6280" w:type="dxa"/>
            <w:vAlign w:val="center"/>
          </w:tcPr>
          <w:p>
            <w:pPr>
              <w:widowControl/>
              <w:jc w:val="center"/>
              <w:rPr>
                <w:rFonts w:ascii="宋体" w:hAnsi="宋体" w:cs="宋体"/>
                <w:sz w:val="24"/>
              </w:rPr>
            </w:pPr>
            <w:r>
              <w:rPr>
                <w:rFonts w:hint="eastAsia" w:ascii="宋体" w:hAnsi="宋体" w:cs="宋体"/>
                <w:sz w:val="24"/>
              </w:rPr>
              <w:t>志愿服务亮点突出。认真组织“博爱青春”暑期志愿服务项目，全市13所高校申报项目65个，其中9个获省级支持，30个获市级支持，项目实施规模历年最大。全市共有1155名高校红十字青年志愿者参与志愿服务，累计志愿服务27528小时，受益近6万人。苏州健雄职业技术学院“博爱青春”志愿服务项目—“行走的救护员 小哥新力量”参加全国首届红十字志愿服务项目大赛，荣获金奖。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rPr>
          <w:trHeight w:val="608"/>
        </w:trPr>
        <w:trPr>
          <w:trHeight w:val="608"/>
        </w:trPr>
        <w:trPr>
          <w:trHeight w:val="608"/>
        </w:trPr>
        <w:tc>
          <w:tcPr>
            <w:tcW w:w="3419" w:type="dxa"/>
            <w:vAlign w:val="center"/>
          </w:tcPr>
          <w:p>
            <w:pPr>
              <w:widowControl/>
              <w:jc w:val="center"/>
              <w:rPr>
                <w:rFonts w:ascii="宋体" w:hAnsi="宋体" w:cs="宋体"/>
                <w:kern w:val="0"/>
                <w:sz w:val="24"/>
              </w:rPr>
            </w:pPr>
            <w:r>
              <w:rPr>
                <w:rFonts w:hint="eastAsia" w:ascii="宋体" w:hAnsi="宋体" w:cs="宋体"/>
                <w:sz w:val="24"/>
              </w:rPr>
              <w:t>宣传贯彻《中华人民共和国红十字会法》和《中华人民共和国红十字标志使用办法》，依照《中国红十字会章程》和有关方针、政策，制定全市红十字事业发展规划，指导和推动全市各级红十字会工作。</w:t>
            </w:r>
          </w:p>
        </w:tc>
        <w:tc>
          <w:tcPr>
            <w:tcW w:w="3818" w:type="dxa"/>
            <w:vAlign w:val="center"/>
          </w:tcPr>
          <w:p>
            <w:pPr>
              <w:widowControl/>
              <w:jc w:val="center"/>
              <w:rPr>
                <w:rFonts w:ascii="宋体" w:hAnsi="宋体" w:cs="宋体"/>
                <w:sz w:val="24"/>
              </w:rPr>
            </w:pPr>
            <w:r>
              <w:rPr>
                <w:rFonts w:hint="eastAsia" w:ascii="宋体" w:hAnsi="宋体" w:cs="宋体"/>
                <w:sz w:val="24"/>
              </w:rPr>
              <w:t>世界红十字日宣传活动、红十字急救日宣传</w:t>
            </w:r>
          </w:p>
        </w:tc>
        <w:tc>
          <w:tcPr>
            <w:tcW w:w="6280" w:type="dxa"/>
            <w:vAlign w:val="center"/>
          </w:tcPr>
          <w:p>
            <w:pPr>
              <w:widowControl/>
              <w:jc w:val="center"/>
              <w:rPr>
                <w:rFonts w:ascii="宋体" w:hAnsi="宋体" w:cs="宋体"/>
                <w:sz w:val="24"/>
              </w:rPr>
            </w:pPr>
            <w:r>
              <w:rPr>
                <w:rFonts w:hint="eastAsia" w:ascii="宋体" w:hAnsi="宋体" w:cs="宋体"/>
                <w:sz w:val="24"/>
              </w:rPr>
              <w:t>紧扣“世界红十字日”“世界献血者日”等重大时间节点，精心策划宣传活动和新闻报道，以高质量宣传工作动员社会资源支持和参与红十字事业。 积极做好纪念中国红十字会建会120周年系列宣传活动，先后发动会员、志愿者及各基层组织上报征文30篇，故事和视频10个，夺得征文类、视频类一等奖，另有 14个作品分获二等奖、三等奖。昆山市举办成立100周年主题活动，吴江区启动“施则敬”线索史料征集活动。“5·8”人道博爱周期间，组织纪念第77个世界红十字日主题宣传活动暨“人道精神 生生不息”健身公益行活动，800余名群众以及200余名志愿者参与，让公众在喜闻乐见的活动中参与公益，传播人道精神。金鸡湖龙舟赛期间，在主会场设置公益市集，组织义卖和红十字人道宣传，让人道精神更加深入人心。全市红十字会系统被各类媒体报道1500余次，市红十字会微信公众号发布文章127篇，总阅读量8万人次，粉丝数增长至11.7万人。</w:t>
            </w:r>
          </w:p>
        </w:tc>
      </w:tr>
    </w:tbl>
    <w:p w14:paraId="24A38881">
      <w:pPr>
        <w:spacing w:line="360" w:lineRule="auto"/>
        <w:ind w:left="600"/>
        <w:rPr>
          <w:rFonts w:ascii="黑体" w:hAnsi="黑体" w:eastAsia="黑体"/>
          <w:sz w:val="30"/>
        </w:rPr>
      </w:pPr>
    </w:p>
    <w:p w14:paraId="2EB75D17">
      <w:pPr>
        <w:spacing w:line="360" w:lineRule="auto"/>
        <w:ind w:left="600"/>
        <w:rPr>
          <w:rFonts w:ascii="黑体" w:hAnsi="黑体" w:eastAsia="黑体"/>
          <w:sz w:val="30"/>
        </w:rPr>
      </w:pPr>
    </w:p>
    <w:p w14:paraId="0A35E1A9">
      <w:pPr>
        <w:numPr>
          <w:ilvl w:val="0"/>
          <w:numId w:val="1"/>
        </w:numPr>
        <w:spacing w:line="360" w:lineRule="auto"/>
        <w:ind w:left="600"/>
        <w:rPr>
          <w:rFonts w:ascii="黑体" w:hAnsi="黑体" w:eastAsia="黑体"/>
          <w:sz w:val="30"/>
        </w:rPr>
      </w:pPr>
      <w:r>
        <w:rPr>
          <w:rFonts w:hint="eastAsia" w:ascii="黑体" w:hAnsi="黑体" w:eastAsia="黑体"/>
          <w:sz w:val="30"/>
        </w:rPr>
        <w:t>部门整体自评表</w:t>
      </w:r>
    </w:p>
    <w:tbl>
      <w:tblPr>
        <w:tblStyle w:val="5"/>
        <w:tblpPr w:leftFromText="180" w:rightFromText="180" w:vertAnchor="text" w:horzAnchor="page" w:tblpX="1656" w:tblpY="127"/>
        <w:tblOverlap w:val="never"/>
        <w:tblW w:w="14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051"/>
        <w:gridCol w:w="2061"/>
        <w:gridCol w:w="1987"/>
        <w:gridCol w:w="1799"/>
        <w:gridCol w:w="1866"/>
        <w:gridCol w:w="1787"/>
        <w:gridCol w:w="1071"/>
      </w:tblGrid>
      <w:tr w14:paraId="0B32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67" w:type="dxa"/>
            <w:shd w:val="clear" w:color="000000" w:fill="BFBFBF"/>
            <w:vAlign w:val="center"/>
          </w:tcPr>
          <w:p w14:paraId="53BD466F">
            <w:pPr>
              <w:widowControl/>
              <w:jc w:val="center"/>
              <w:rPr>
                <w:rFonts w:ascii="宋体" w:hAnsi="宋体" w:cs="宋体"/>
                <w:b/>
                <w:bCs/>
                <w:kern w:val="0"/>
                <w:sz w:val="24"/>
              </w:rPr>
            </w:pPr>
            <w:r>
              <w:rPr>
                <w:rFonts w:hint="eastAsia" w:ascii="宋体" w:hAnsi="宋体" w:cs="宋体"/>
                <w:b/>
                <w:bCs/>
                <w:kern w:val="0"/>
                <w:sz w:val="24"/>
              </w:rPr>
              <w:t/>
            </w:r>
          </w:p>
        </w:tc>
        <w:tc>
          <w:tcPr>
            <w:tcW w:w="2051" w:type="dxa"/>
            <w:shd w:val="clear" w:color="000000" w:fill="BFBFBF"/>
            <w:vAlign w:val="center"/>
          </w:tcPr>
          <w:p w14:paraId="1CC58553">
            <w:pPr>
              <w:widowControl/>
              <w:jc w:val="center"/>
              <w:rPr>
                <w:rFonts w:ascii="宋体" w:hAnsi="宋体" w:cs="宋体"/>
                <w:b/>
                <w:bCs/>
                <w:kern w:val="0"/>
                <w:sz w:val="24"/>
              </w:rPr>
            </w:pPr>
            <w:r>
              <w:rPr>
                <w:rFonts w:hint="eastAsia" w:ascii="宋体" w:hAnsi="宋体" w:cs="宋体"/>
                <w:b/>
                <w:bCs/>
                <w:sz w:val="24"/>
              </w:rPr>
              <w:t>类别</w:t>
            </w:r>
          </w:p>
        </w:tc>
        <w:tc>
          <w:tcPr>
            <w:tcW w:w="2061" w:type="dxa"/>
            <w:shd w:val="clear" w:color="000000" w:fill="BFBFBF"/>
            <w:vAlign w:val="center"/>
          </w:tcPr>
          <w:p w14:paraId="3F4DC382">
            <w:pPr>
              <w:widowControl/>
              <w:jc w:val="center"/>
              <w:rPr>
                <w:rFonts w:ascii="宋体" w:hAnsi="宋体" w:cs="宋体"/>
                <w:b/>
                <w:bCs/>
                <w:kern w:val="0"/>
                <w:sz w:val="24"/>
              </w:rPr>
            </w:pPr>
            <w:r>
              <w:rPr>
                <w:rFonts w:hint="eastAsia" w:ascii="宋体" w:hAnsi="宋体" w:cs="宋体"/>
                <w:b/>
                <w:bCs/>
                <w:sz w:val="24"/>
              </w:rPr>
              <w:t>指标名称</w:t>
            </w:r>
          </w:p>
        </w:tc>
        <w:tc>
          <w:tcPr>
            <w:tcW w:w="1987" w:type="dxa"/>
            <w:shd w:val="clear" w:color="000000" w:fill="BFBFBF"/>
            <w:vAlign w:val="center"/>
          </w:tcPr>
          <w:p w14:paraId="5D2A2967">
            <w:pPr>
              <w:widowControl/>
              <w:jc w:val="center"/>
              <w:rPr>
                <w:rFonts w:ascii="宋体" w:hAnsi="宋体" w:cs="宋体"/>
                <w:b/>
                <w:bCs/>
                <w:kern w:val="0"/>
                <w:sz w:val="24"/>
              </w:rPr>
            </w:pPr>
            <w:r>
              <w:rPr>
                <w:rFonts w:hint="eastAsia" w:ascii="宋体" w:hAnsi="宋体" w:cs="宋体"/>
                <w:b/>
                <w:bCs/>
                <w:sz w:val="24"/>
              </w:rPr>
              <w:t>指标目标值</w:t>
            </w:r>
          </w:p>
        </w:tc>
        <w:tc>
          <w:tcPr>
            <w:tcW w:w="1799" w:type="dxa"/>
            <w:shd w:val="clear" w:color="000000" w:fill="BFBFBF"/>
            <w:vAlign w:val="center"/>
          </w:tcPr>
          <w:p w14:paraId="700B5F42">
            <w:pPr>
              <w:widowControl/>
              <w:jc w:val="center"/>
              <w:rPr>
                <w:rFonts w:ascii="宋体" w:hAnsi="宋体" w:cs="宋体"/>
                <w:b/>
                <w:bCs/>
                <w:kern w:val="0"/>
                <w:sz w:val="24"/>
              </w:rPr>
            </w:pPr>
            <w:r>
              <w:rPr>
                <w:rFonts w:hint="eastAsia" w:ascii="宋体" w:hAnsi="宋体" w:cs="宋体"/>
                <w:b/>
                <w:bCs/>
                <w:sz w:val="24"/>
              </w:rPr>
              <w:t>指标完成值</w:t>
            </w:r>
          </w:p>
        </w:tc>
        <w:tc>
          <w:tcPr>
            <w:tcW w:w="1866" w:type="dxa"/>
            <w:shd w:val="clear" w:color="000000" w:fill="BFBFBF"/>
            <w:vAlign w:val="center"/>
          </w:tcPr>
          <w:p w14:paraId="3082178C">
            <w:pPr>
              <w:widowControl/>
              <w:jc w:val="center"/>
              <w:rPr>
                <w:rFonts w:ascii="宋体" w:hAnsi="宋体" w:cs="宋体"/>
                <w:b/>
                <w:bCs/>
                <w:kern w:val="0"/>
                <w:sz w:val="24"/>
              </w:rPr>
            </w:pPr>
            <w:r>
              <w:rPr>
                <w:rFonts w:hint="eastAsia" w:ascii="宋体" w:hAnsi="宋体" w:cs="宋体"/>
                <w:b/>
                <w:bCs/>
                <w:sz w:val="24"/>
              </w:rPr>
              <w:t>完成值来源</w:t>
            </w:r>
          </w:p>
        </w:tc>
        <w:tc>
          <w:tcPr>
            <w:tcW w:w="1787" w:type="dxa"/>
            <w:shd w:val="clear" w:color="000000" w:fill="BFBFBF"/>
            <w:vAlign w:val="center"/>
          </w:tcPr>
          <w:p w14:paraId="49382FB0">
            <w:pPr>
              <w:widowControl/>
              <w:jc w:val="center"/>
              <w:rPr>
                <w:rFonts w:ascii="宋体" w:hAnsi="宋体" w:cs="宋体"/>
                <w:b/>
                <w:bCs/>
                <w:sz w:val="24"/>
              </w:rPr>
            </w:pPr>
            <w:r>
              <w:rPr>
                <w:rFonts w:hint="eastAsia" w:ascii="宋体" w:hAnsi="宋体" w:cs="宋体"/>
                <w:b/>
                <w:bCs/>
                <w:sz w:val="24"/>
              </w:rPr>
              <w:t>偏差情况</w:t>
            </w:r>
          </w:p>
        </w:tc>
        <w:tc>
          <w:tcPr>
            <w:tcW w:w="1071" w:type="dxa"/>
            <w:shd w:val="clear" w:color="000000" w:fill="BFBFBF"/>
          </w:tcPr>
          <w:p w14:paraId="6998F3EA">
            <w:pPr>
              <w:widowControl/>
              <w:jc w:val="center"/>
              <w:rPr>
                <w:rFonts w:ascii="黑体" w:hAnsi="黑体" w:eastAsia="黑体"/>
                <w:sz w:val="30"/>
              </w:rPr>
            </w:pPr>
            <w:r>
              <w:rPr>
                <w:rFonts w:hint="eastAsia" w:ascii="宋体" w:hAnsi="宋体" w:cs="宋体"/>
                <w:b/>
                <w:bCs/>
                <w:sz w:val="24"/>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restart"/>
          </w:tcPr>
          <w:p>
            <w:pPr>
              <w:spacing w:line="360" w:lineRule="auto"/>
              <w:jc w:val="center"/>
              <w:rPr>
                <w:rFonts w:ascii="宋体" w:hAnsi="宋体" w:cs="宋体"/>
                <w:kern w:val="0"/>
                <w:sz w:val="24"/>
              </w:rPr>
            </w:pPr>
            <w:r>
              <w:rPr>
                <w:rFonts w:hint="eastAsia" w:ascii="宋体" w:hAnsi="宋体" w:cs="宋体"/>
                <w:sz w:val="24"/>
              </w:rPr>
              <w:t>分解目标</w:t>
            </w:r>
          </w:p>
        </w:tc>
        <w:tc>
          <w:tcPr>
            <w:tcW w:w="2051" w:type="dxa"/>
            <w:vAlign w:val="center"/>
          </w:tcPr>
          <w:tcPr>
            <w:vMerge w:val="restart"/>
          </w:tcPr>
          <w:p>
            <w:pPr>
              <w:spacing w:line="360" w:lineRule="auto"/>
              <w:jc w:val="center"/>
              <w:rPr>
                <w:rFonts w:ascii="宋体" w:hAnsi="宋体" w:cs="宋体"/>
                <w:kern w:val="0"/>
                <w:sz w:val="24"/>
              </w:rPr>
            </w:pPr>
            <w:r>
              <w:rPr>
                <w:rFonts w:hint="eastAsia" w:ascii="宋体" w:hAnsi="宋体" w:cs="宋体"/>
                <w:sz w:val="24"/>
              </w:rPr>
              <w:t>决策</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工作计划制定健全性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苏州市红十字会2024年工作重点</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中长期规划制定健全性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部门十四五规划</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绩效指标明确性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明确</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明确</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绩效目标合理性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合理</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合理</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预算编制科学性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科学</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科学</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预算编制规范性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restart"/>
          </w:tcPr>
          <w:p>
            <w:pPr>
              <w:spacing w:line="360" w:lineRule="auto"/>
              <w:jc w:val="center"/>
              <w:rPr>
                <w:rFonts w:ascii="宋体" w:hAnsi="宋体" w:cs="宋体"/>
                <w:kern w:val="0"/>
                <w:sz w:val="24"/>
              </w:rPr>
            </w:pPr>
            <w:r>
              <w:rPr>
                <w:rFonts w:hint="eastAsia" w:ascii="宋体" w:hAnsi="宋体" w:cs="宋体"/>
                <w:sz w:val="24"/>
              </w:rPr>
              <w:t>过程</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基础信息完善性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完善</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完善</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资金使用合规性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部门预决算公开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预算管理制度健全性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苏州市红十字会财务管理办法、内部控制制度</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预决算信息公开度</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公开</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公开</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预决算公开平台、市红十字会官网</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绩效管理覆盖率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非税收入管理合规性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合规</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部门预决算公开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资产管理制度健全性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苏州市红十字会财务管理办法、内部控制制度</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资产管理规范性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固定资产年终盘点</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固定资产利用率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固定资产年终盘点</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项目管理制度健全性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苏州市红十字会财务管理办法、内部控制制度</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项目管理制度执行规范性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规范</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部门预决算公开</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人员管理制度健全性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健全</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人员管理制度执行有效性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在职人员控制率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104.76%</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4.76%</w:t>
            </w:r>
          </w:p>
        </w:tc>
        <w:tc>
          <w:tcPr>
            <w:tcW w:w="1071" w:type="dxa"/>
          </w:tcPr>
          <w:p>
            <w:pPr>
              <w:spacing w:line="360" w:lineRule="auto"/>
              <w:rPr>
                <w:rFonts w:ascii="宋体" w:hAnsi="宋体" w:cs="宋体"/>
                <w:kern w:val="0"/>
                <w:sz w:val="22"/>
              </w:rPr>
            </w:pPr>
            <w:r>
              <w:rPr>
                <w:rFonts w:hint="eastAsia" w:ascii="宋体" w:hAnsi="宋体" w:cs="宋体"/>
                <w:sz w:val="24"/>
              </w:rPr>
              <w:t>新增1名公益性岗位工作人员。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纪检监察工作有效性</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有效</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组织建设工作及时完成率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业务学习与培训及时完成率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支付进度符合率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预算调整率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11.17%</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071" w:type="dxa"/>
          </w:tcPr>
          <w:p>
            <w:pPr>
              <w:spacing w:line="360" w:lineRule="auto"/>
              <w:rPr>
                <w:rFonts w:ascii="宋体" w:hAnsi="宋体" w:cs="宋体"/>
                <w:kern w:val="0"/>
                <w:sz w:val="22"/>
              </w:rPr>
            </w:pPr>
            <w:r>
              <w:rPr>
                <w:rFonts w:hint="eastAsia" w:ascii="宋体" w:hAnsi="宋体" w:cs="宋体"/>
                <w:sz w:val="24"/>
              </w:rPr>
              <w:t>新增1名工作人员，追加相关预算；追加信息技术应用创新、彩票公益金等项目经费支出。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“三公经费”变动率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&lt;=0%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-53.61%</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071" w:type="dxa"/>
          </w:tcPr>
          <w:p>
            <w:pPr>
              <w:spacing w:line="360" w:lineRule="auto"/>
              <w:rPr>
                <w:rFonts w:ascii="宋体" w:hAnsi="宋体" w:cs="宋体"/>
                <w:kern w:val="0"/>
                <w:sz w:val="22"/>
              </w:rPr>
            </w:pPr>
            <w:r>
              <w:rPr>
                <w:rFonts w:hint="eastAsia" w:ascii="宋体" w:hAnsi="宋体" w:cs="宋体"/>
                <w:sz w:val="24"/>
              </w:rPr>
              <w:t>厉行勤俭节约，减少三公经费支出。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公用经费控制率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&lt;=100%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96.84%</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-3.16%</w:t>
            </w:r>
          </w:p>
        </w:tc>
        <w:tc>
          <w:tcPr>
            <w:tcW w:w="1071" w:type="dxa"/>
          </w:tcPr>
          <w:p>
            <w:pPr>
              <w:spacing w:line="360" w:lineRule="auto"/>
              <w:rPr>
                <w:rFonts w:ascii="宋体" w:hAnsi="宋体" w:cs="宋体"/>
                <w:kern w:val="0"/>
                <w:sz w:val="22"/>
              </w:rPr>
            </w:pPr>
            <w:r>
              <w:rPr>
                <w:rFonts w:hint="eastAsia" w:ascii="宋体" w:hAnsi="宋体" w:cs="宋体"/>
                <w:sz w:val="24"/>
              </w:rPr>
              <w:t>厉行勤俭节约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政府采购执行率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预算执行率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98.94%</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-1.06%</w:t>
            </w:r>
          </w:p>
        </w:tc>
        <w:tc>
          <w:tcPr>
            <w:tcW w:w="1071" w:type="dxa"/>
          </w:tcPr>
          <w:p>
            <w:pPr>
              <w:spacing w:line="360" w:lineRule="auto"/>
              <w:rPr>
                <w:rFonts w:ascii="宋体" w:hAnsi="宋体" w:cs="宋体"/>
                <w:kern w:val="0"/>
                <w:sz w:val="22"/>
              </w:rPr>
            </w:pPr>
            <w:r>
              <w:rPr>
                <w:rFonts w:hint="eastAsia" w:ascii="宋体" w:hAnsi="宋体" w:cs="宋体"/>
                <w:sz w:val="24"/>
              </w:rPr>
              <w:t>结转部分以前年度基本支出。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预算偏差率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&lt;=10%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11.71%</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17.10%</w:t>
            </w:r>
          </w:p>
        </w:tc>
        <w:tc>
          <w:tcPr>
            <w:tcW w:w="1071" w:type="dxa"/>
          </w:tcPr>
          <w:p>
            <w:pPr>
              <w:spacing w:line="360" w:lineRule="auto"/>
              <w:rPr>
                <w:rFonts w:ascii="宋体" w:hAnsi="宋体" w:cs="宋体"/>
                <w:kern w:val="0"/>
                <w:sz w:val="22"/>
              </w:rPr>
            </w:pPr>
            <w:r>
              <w:rPr>
                <w:rFonts w:hint="eastAsia" w:ascii="宋体" w:hAnsi="宋体" w:cs="宋体"/>
                <w:sz w:val="24"/>
              </w:rPr>
              <w:t>新增1名工作人员，追加相关预算；追加信息技术应用创新、彩票公益金等项目经费支出。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结转结余率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1.07%</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100%</w:t>
            </w:r>
          </w:p>
        </w:tc>
        <w:tc>
          <w:tcPr>
            <w:tcW w:w="1071" w:type="dxa"/>
          </w:tcPr>
          <w:p>
            <w:pPr>
              <w:spacing w:line="360" w:lineRule="auto"/>
              <w:rPr>
                <w:rFonts w:ascii="宋体" w:hAnsi="宋体" w:cs="宋体"/>
                <w:kern w:val="0"/>
                <w:sz w:val="22"/>
              </w:rPr>
            </w:pPr>
            <w:r>
              <w:rPr>
                <w:rFonts w:hint="eastAsia" w:ascii="宋体" w:hAnsi="宋体" w:cs="宋体"/>
                <w:sz w:val="24"/>
              </w:rPr>
              <w:t>结转部分以前年度基本支出。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非税收入预算完成率</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&gt;=100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2024年度部门决算</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restart"/>
          </w:tcPr>
          <w:p>
            <w:pPr>
              <w:spacing w:line="360" w:lineRule="auto"/>
              <w:jc w:val="center"/>
              <w:rPr>
                <w:rFonts w:ascii="宋体" w:hAnsi="宋体" w:cs="宋体"/>
                <w:kern w:val="0"/>
                <w:sz w:val="24"/>
              </w:rPr>
            </w:pPr>
            <w:r>
              <w:rPr>
                <w:rFonts w:hint="eastAsia" w:ascii="宋体" w:hAnsi="宋体" w:cs="宋体"/>
                <w:sz w:val="24"/>
              </w:rPr>
              <w:t>效益</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支持博爱家园建设，基层社区群众广泛开展人道服务。</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较好</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较好</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有力推动社会公众救护知识、技能普及</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较好</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较好</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增强红会三救三献业务工作能力，保障单位的持续健康发展</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持续健康发展</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restart"/>
          </w:tcPr>
          <w:p>
            <w:pPr>
              <w:spacing w:line="360" w:lineRule="auto"/>
              <w:jc w:val="center"/>
              <w:rPr>
                <w:rFonts w:ascii="宋体" w:hAnsi="宋体" w:cs="宋体"/>
                <w:kern w:val="0"/>
                <w:sz w:val="24"/>
              </w:rPr>
            </w:pPr>
            <w:r>
              <w:rPr>
                <w:rFonts w:hint="eastAsia" w:ascii="宋体" w:hAnsi="宋体" w:cs="宋体"/>
                <w:sz w:val="24"/>
              </w:rPr>
              <w:t>满意度</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公益性救护培训人员满意度</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&gt;=90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90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造血干细胞捐献服务满意度</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&gt;=85</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85</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restart"/>
          </w:tcPr>
          <w:p>
            <w:pPr>
              <w:spacing w:line="360" w:lineRule="auto"/>
              <w:jc w:val="center"/>
              <w:rPr>
                <w:rFonts w:ascii="宋体" w:hAnsi="宋体" w:cs="宋体"/>
                <w:kern w:val="0"/>
                <w:sz w:val="24"/>
              </w:rPr>
            </w:pPr>
            <w:r>
              <w:rPr>
                <w:rFonts w:hint="eastAsia" w:ascii="宋体" w:hAnsi="宋体" w:cs="宋体"/>
                <w:sz w:val="24"/>
              </w:rPr>
              <w:t>履职</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新建博爱家园</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=10个</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10个</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培训初级救护员</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&gt;=5000</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5200</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4.00%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开展无偿献血宣传项目</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=1个</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1个</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红十字应急救援队训练</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=4次</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4次</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维护微信公众号</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=1个</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1个</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扶持博爱青春项目</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=10个</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12个</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20.00%</w:t>
            </w:r>
          </w:p>
        </w:tc>
        <w:tc>
          <w:tcPr>
            <w:tcW w:w="1071" w:type="dxa"/>
          </w:tcPr>
          <w:p>
            <w:pPr>
              <w:spacing w:line="360" w:lineRule="auto"/>
              <w:rPr>
                <w:rFonts w:ascii="宋体" w:hAnsi="宋体" w:cs="宋体"/>
                <w:kern w:val="0"/>
                <w:sz w:val="22"/>
              </w:rPr>
            </w:pPr>
            <w:r>
              <w:rPr>
                <w:rFonts w:hint="eastAsia" w:ascii="宋体" w:hAnsi="宋体" w:cs="宋体"/>
                <w:sz w:val="24"/>
              </w:rPr>
              <w:t>大力扶持博爱青春项目。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rPr>
          <w:trHeight w:val="540"/>
        </w:trPr>
        <w:trPr>
          <w:trHeight w:val="540"/>
        </w:trPr>
        <w:trPr>
          <w:trHeight w:val="540"/>
        </w:trPr>
        <w:trPr>
          <w:trHeight w:val="540"/>
        </w:trPr>
        <w:trPr>
          <w:trHeight w:val="540"/>
        </w:trPr>
        <w:trPr>
          <w:trHeight w:val="540"/>
        </w:trPr>
        <w:trPr>
          <w:trHeight w:val="540"/>
        </w:trPr>
        <w:trPr>
          <w:trHeight w:val="540"/>
        </w:trPr>
        <w:tc>
          <w:tcPr>
            <w:tcW w:w="2067"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51" w:type="dxa"/>
            <w:vAlign w:val="center"/>
          </w:tcPr>
          <w:tcPr>
            <w:vMerge w:val="continue"/>
          </w:tcPr>
          <w:p>
            <w:pPr>
              <w:spacing w:line="360" w:lineRule="auto"/>
              <w:jc w:val="center"/>
              <w:rPr>
                <w:rFonts w:ascii="宋体" w:hAnsi="宋体" w:cs="宋体"/>
                <w:kern w:val="0"/>
                <w:sz w:val="24"/>
              </w:rPr>
            </w:pPr>
            <w:r>
              <w:rPr>
                <w:rFonts w:hint="eastAsia" w:ascii="宋体" w:hAnsi="宋体" w:cs="宋体"/>
                <w:sz w:val="24"/>
              </w:rPr>
              <w:t/>
            </w:r>
          </w:p>
        </w:tc>
        <w:tc>
          <w:tcPr>
            <w:tcW w:w="2061" w:type="dxa"/>
            <w:vAlign w:val="center"/>
          </w:tcPr>
          <w:p>
            <w:pPr>
              <w:spacing w:line="360" w:lineRule="auto"/>
              <w:jc w:val="center"/>
              <w:rPr>
                <w:rFonts w:ascii="宋体" w:hAnsi="宋体" w:cs="宋体"/>
                <w:kern w:val="0"/>
                <w:sz w:val="24"/>
              </w:rPr>
            </w:pPr>
            <w:r>
              <w:rPr>
                <w:rFonts w:hint="eastAsia" w:ascii="宋体" w:hAnsi="宋体" w:cs="宋体"/>
                <w:sz w:val="24"/>
              </w:rPr>
              <w:t>开展骨髓捐献者日志愿者相关活动</w:t>
            </w:r>
          </w:p>
        </w:tc>
        <w:tc>
          <w:tcPr>
            <w:tcW w:w="1987" w:type="dxa"/>
            <w:vAlign w:val="center"/>
          </w:tcPr>
          <w:p>
            <w:pPr>
              <w:spacing w:line="360" w:lineRule="auto"/>
              <w:jc w:val="center"/>
              <w:rPr>
                <w:rFonts w:ascii="宋体" w:hAnsi="宋体" w:cs="宋体"/>
                <w:kern w:val="0"/>
                <w:sz w:val="24"/>
              </w:rPr>
            </w:pPr>
            <w:r>
              <w:rPr>
                <w:rFonts w:hint="eastAsia" w:ascii="宋体" w:hAnsi="宋体" w:cs="宋体"/>
                <w:sz w:val="24"/>
              </w:rPr>
              <w:t>=1次</w:t>
            </w:r>
          </w:p>
        </w:tc>
        <w:tc>
          <w:tcPr>
            <w:tcW w:w="1799" w:type="dxa"/>
            <w:vAlign w:val="center"/>
          </w:tcPr>
          <w:p>
            <w:pPr>
              <w:spacing w:line="360" w:lineRule="auto"/>
              <w:jc w:val="center"/>
              <w:rPr>
                <w:rFonts w:ascii="宋体" w:hAnsi="宋体" w:cs="宋体"/>
                <w:kern w:val="0"/>
                <w:sz w:val="24"/>
              </w:rPr>
            </w:pPr>
            <w:r>
              <w:rPr>
                <w:rFonts w:hint="eastAsia" w:ascii="宋体" w:hAnsi="宋体" w:cs="宋体"/>
                <w:sz w:val="24"/>
              </w:rPr>
              <w:t>1次</w:t>
            </w:r>
          </w:p>
        </w:tc>
        <w:tc>
          <w:tcPr>
            <w:tcW w:w="1866" w:type="dxa"/>
            <w:vAlign w:val="center"/>
          </w:tcPr>
          <w:p>
            <w:pPr>
              <w:spacing w:line="360" w:lineRule="auto"/>
              <w:jc w:val="center"/>
              <w:rPr>
                <w:rFonts w:ascii="宋体" w:hAnsi="宋体" w:cs="宋体"/>
                <w:kern w:val="0"/>
                <w:sz w:val="24"/>
              </w:rPr>
            </w:pPr>
            <w:r>
              <w:rPr>
                <w:rFonts w:hint="eastAsia" w:ascii="宋体" w:hAnsi="宋体" w:cs="宋体"/>
                <w:sz w:val="24"/>
              </w:rPr>
              <w:t>2024年度工作总结</w:t>
            </w:r>
          </w:p>
        </w:tc>
        <w:tc>
          <w:tcPr>
            <w:tcW w:w="1787" w:type="dxa"/>
            <w:vAlign w:val="center"/>
          </w:tcPr>
          <w:p>
            <w:pPr>
              <w:spacing w:line="360" w:lineRule="auto"/>
              <w:jc w:val="center"/>
              <w:rPr>
                <w:rFonts w:ascii="宋体" w:hAnsi="宋体" w:cs="宋体"/>
                <w:kern w:val="0"/>
                <w:sz w:val="24"/>
              </w:rPr>
            </w:pPr>
            <w:r>
              <w:rPr>
                <w:rFonts w:hint="eastAsia" w:ascii="宋体" w:hAnsi="宋体" w:cs="宋体"/>
                <w:sz w:val="24"/>
              </w:rPr>
              <w:t>0.00%</w:t>
            </w:r>
          </w:p>
        </w:tc>
        <w:tc>
          <w:tcPr>
            <w:tcW w:w="1071" w:type="dxa"/>
          </w:tcPr>
          <w:p>
            <w:pPr>
              <w:spacing w:line="360" w:lineRule="auto"/>
              <w:rPr>
                <w:rFonts w:ascii="宋体" w:hAnsi="宋体" w:cs="宋体"/>
                <w:kern w:val="0"/>
                <w:sz w:val="22"/>
              </w:rPr>
            </w:pPr>
            <w:r>
              <w:rPr>
                <w:rFonts w:hint="eastAsia" w:ascii="宋体" w:hAnsi="宋体" w:cs="宋体"/>
                <w:sz w:val="24"/>
              </w:rPr>
              <w:t/>
            </w:r>
          </w:p>
        </w:tc>
      </w:tr>
    </w:tbl>
    <w:p w14:paraId="7B5F5F05">
      <w:pPr>
        <w:spacing w:line="360" w:lineRule="auto"/>
        <w:ind w:left="600"/>
        <w:rPr>
          <w:rFonts w:ascii="黑体" w:hAnsi="黑体" w:eastAsia="黑体"/>
          <w:sz w:val="30"/>
        </w:rPr>
      </w:pPr>
    </w:p>
    <w:sectPr>
      <w:headerReference r:id="rId7" w:type="default"/>
      <w:footerReference r:id="rId8" w:type="default"/>
      <w:pgSz w:w="16840" w:h="11907" w:orient="landscape"/>
      <w:pgMar w:top="1559" w:right="1247" w:bottom="1400" w:left="1089"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2381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C32876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DEFE">
    <w:pPr>
      <w:pStyle w:val="3"/>
      <w:framePr w:wrap="around" w:vAnchor="text" w:hAnchor="margin" w:xAlign="center" w:y="1"/>
      <w:rPr>
        <w:rStyle w:val="8"/>
      </w:rPr>
    </w:pPr>
    <w:r>
      <w:fldChar w:fldCharType="begin"/>
    </w:r>
    <w:r>
      <w:rPr>
        <w:rStyle w:val="8"/>
      </w:rPr>
      <w:instrText xml:space="preserve">PAGE  </w:instrText>
    </w:r>
    <w:r>
      <w:fldChar w:fldCharType="end"/>
    </w:r>
  </w:p>
  <w:p w14:paraId="094E44E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6061">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52662FC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75B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7BC6">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CE9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B9F1"/>
    <w:multiLevelType w:val="singleLevel"/>
    <w:tmpl w:val="5D7BB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3D5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0E9A"/>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DD5"/>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6B57CE1"/>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已访问的超链接1"/>
    <w:qFormat/>
    <w:uiPriority w:val="0"/>
    <w:rPr>
      <w:color w:val="800080"/>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paragraph" w:customStyle="1" w:styleId="13">
    <w:name w:val="目录 21"/>
    <w:basedOn w:val="1"/>
    <w:next w:val="1"/>
    <w:qFormat/>
    <w:uiPriority w:val="39"/>
    <w:pPr>
      <w:tabs>
        <w:tab w:val="right" w:leader="dot" w:pos="8494"/>
      </w:tabs>
      <w:spacing w:line="560" w:lineRule="exact"/>
      <w:ind w:left="210"/>
      <w:jc w:val="left"/>
    </w:pPr>
    <w:rPr>
      <w:rFonts w:ascii="仿宋_GB2312" w:hAnsi="Calibri" w:eastAsia="仿宋_GB2312" w:cs="Calibri"/>
      <w:smallCaps/>
      <w:sz w:val="28"/>
      <w:szCs w:val="28"/>
    </w:rPr>
  </w:style>
  <w:style w:type="paragraph" w:customStyle="1" w:styleId="14">
    <w:name w:val="目录 11"/>
    <w:basedOn w:val="1"/>
    <w:next w:val="1"/>
    <w:qFormat/>
    <w:uiPriority w:val="39"/>
    <w:pPr>
      <w:tabs>
        <w:tab w:val="left" w:pos="840"/>
        <w:tab w:val="right" w:leader="dot" w:pos="8296"/>
      </w:tabs>
      <w:spacing w:line="560" w:lineRule="exact"/>
      <w:jc w:val="left"/>
    </w:pPr>
    <w:rPr>
      <w:rFonts w:ascii="仿宋_GB2312" w:hAnsi="新宋体" w:eastAsia="仿宋_GB2312" w:cs="Calibri"/>
      <w:b/>
      <w:bCs/>
      <w:caps/>
      <w:sz w:val="28"/>
      <w:szCs w:val="28"/>
    </w:rPr>
  </w:style>
  <w:style w:type="paragraph" w:customStyle="1" w:styleId="15">
    <w:name w:val="Char Char Char Char Char Char Char"/>
    <w:basedOn w:val="1"/>
    <w:qFormat/>
    <w:uiPriority w:val="0"/>
    <w:rPr>
      <w:szCs w:val="21"/>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numbering.xml" Type="http://schemas.openxmlformats.org/officeDocument/2006/relationships/numbering"/>
<Relationship Id="rId11"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header2.xml" Type="http://schemas.openxmlformats.org/officeDocument/2006/relationships/header"/>
<Relationship Id="rId5" Target="footer1.xml" Type="http://schemas.openxmlformats.org/officeDocument/2006/relationships/footer"/>
<Relationship Id="rId6" Target="footer2.xml" Type="http://schemas.openxmlformats.org/officeDocument/2006/relationships/footer"/>
<Relationship Id="rId7" Target="header3.xml" Type="http://schemas.openxmlformats.org/officeDocument/2006/relationships/header"/>
<Relationship Id="rId8" Target="footer3.xml" Type="http://schemas.openxmlformats.org/officeDocument/2006/relationships/footer"/>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czj</Company>
  <Pages>3</Pages>
  <Words>270</Words>
  <Characters>780</Characters>
  <Lines>6</Lines>
  <Paragraphs>1</Paragraphs>
  <TotalTime>5</TotalTime>
  <ScaleCrop>false</ScaleCrop>
  <LinksUpToDate>false</LinksUpToDate>
  <CharactersWithSpaces>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2020-12-31T06:58:00Z</dcterms:created>
  <dc:creator>傅海英</dc:creator>
  <cp:lastModifiedBy>张彬</cp:lastModifiedBy>
  <cp:lastPrinted>2019-06-21T02:10:00Z</cp:lastPrinted>
  <dcterms:modified xsi:type="dcterms:W3CDTF">2025-02-12T09:50:29Z</dcterms:modified>
  <cp:revision>7</cp:revision>
  <dc:title>关于进行本市部门整体支出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739EEDB2ECE141DEAF0C3D87D58590AD_13</vt:lpwstr>
  </property>
  <property fmtid="{D5CDD505-2E9C-101B-9397-08002B2CF9AE}" pid="4" name="KSOTemplateDocerSaveRecord">
    <vt:lpwstr>eyJoZGlkIjoiYjI2ZWIxNzBhOWM3YmNkMjVjMWZjMWQ2NzA4MDFlZmYiLCJ1c2VySWQiOiIxNDU0MjIwNjc4In0=</vt:lpwstr>
  </property>
</Properties>
</file>