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
<Relationship Id="rId1" Target="docProps/app.xml" Type="http://schemas.openxmlformats.org/officeDocument/2006/relationships/extended-properties"/>
<Relationship Id="rId2" Target="docProps/core.xml" Type="http://schemas.openxmlformats.org/package/2006/relationships/metadata/core-properties"/>
<Relationship Id="rId3" Target="docProps/custom.xml" Type="http://schemas.openxmlformats.org/officeDocument/2006/relationships/custom-properties"/>
<Relationship Id="rId4" Target="word/document.xml" Type="http://schemas.openxmlformats.org/officeDocument/2006/relationships/officeDocument"/>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D7DC1">
      <w:pPr>
        <w:rPr>
          <w:rFonts w:eastAsia="仿宋_GB2312"/>
          <w:sz w:val="30"/>
        </w:rPr>
      </w:pPr>
    </w:p>
    <w:p w14:paraId="2A6F3B9F">
      <w:pPr>
        <w:spacing w:line="360" w:lineRule="auto"/>
        <w:jc w:val="center"/>
        <w:rPr>
          <w:rFonts w:ascii="黑体" w:hAnsi="黑体" w:eastAsia="黑体"/>
          <w:sz w:val="32"/>
          <w:szCs w:val="32"/>
        </w:rPr>
      </w:pPr>
      <w:r>
        <w:rPr>
          <w:rFonts w:hint="eastAsia" w:ascii="黑体" w:hAnsi="黑体" w:eastAsia="黑体"/>
          <w:sz w:val="32"/>
          <w:szCs w:val="32"/>
        </w:rPr>
        <w:t>苏州市市级预算部门（单位）整体支出预算绩效自评报告</w:t>
      </w:r>
    </w:p>
    <w:p w14:paraId="4A05E983">
      <w:pPr>
        <w:spacing w:line="360" w:lineRule="auto"/>
        <w:jc w:val="center"/>
        <w:rPr>
          <w:rFonts w:ascii="黑体" w:eastAsia="黑体"/>
          <w:sz w:val="32"/>
          <w:szCs w:val="32"/>
        </w:rPr>
      </w:pPr>
      <w:r>
        <w:rPr>
          <w:rFonts w:hint="eastAsia" w:ascii="黑体" w:eastAsia="黑体"/>
          <w:sz w:val="32"/>
          <w:szCs w:val="32"/>
        </w:rPr>
        <w:t>（202</w:t>
      </w:r>
      <w:r>
        <w:rPr>
          <w:rFonts w:hint="eastAsia" w:ascii="黑体" w:eastAsia="黑体"/>
          <w:sz w:val="32"/>
          <w:szCs w:val="32"/>
          <w:lang w:val="en-US" w:eastAsia="zh-CN"/>
        </w:rPr>
        <w:t>5</w:t>
      </w:r>
      <w:bookmarkStart w:id="0" w:name="_GoBack"/>
      <w:bookmarkEnd w:id="0"/>
      <w:r>
        <w:rPr>
          <w:rFonts w:hint="eastAsia" w:ascii="黑体" w:eastAsia="黑体"/>
          <w:sz w:val="32"/>
          <w:szCs w:val="32"/>
        </w:rPr>
        <w:t>年度）</w:t>
      </w:r>
    </w:p>
    <w:p w14:paraId="2D0D461F">
      <w:pPr>
        <w:spacing w:line="360" w:lineRule="auto"/>
        <w:jc w:val="center"/>
        <w:rPr>
          <w:rFonts w:eastAsia="仿宋_GB2312"/>
          <w:sz w:val="30"/>
        </w:rPr>
      </w:pPr>
    </w:p>
    <w:p w14:paraId="0B85D768">
      <w:pPr>
        <w:spacing w:line="360" w:lineRule="auto"/>
        <w:ind w:firstLine="600" w:firstLineChars="200"/>
        <w:rPr>
          <w:rFonts w:ascii="黑体" w:hAnsi="黑体" w:eastAsia="黑体"/>
          <w:sz w:val="30"/>
        </w:rPr>
      </w:pPr>
      <w:r>
        <w:rPr>
          <w:rFonts w:hint="eastAsia" w:ascii="黑体" w:hAnsi="黑体" w:eastAsia="黑体"/>
          <w:sz w:val="30"/>
        </w:rPr>
        <w:t>一、预算部门名称：</w:t>
      </w:r>
      <w:r>
        <w:rPr>
          <w:rFonts w:hint="eastAsia" w:ascii="宋体" w:hAnsi="宋体" w:cs="宋体"/>
          <w:sz w:val="24"/>
        </w:rPr>
        <w:t>苏州市红十字会</w:t>
      </w:r>
    </w:p>
    <w:p w14:paraId="58F772EF">
      <w:pPr>
        <w:spacing w:line="360" w:lineRule="auto"/>
        <w:ind w:firstLine="600" w:firstLineChars="200"/>
        <w:rPr>
          <w:rFonts w:ascii="黑体" w:hAnsi="黑体" w:eastAsia="黑体"/>
          <w:sz w:val="30"/>
        </w:rPr>
      </w:pPr>
      <w:r>
        <w:rPr>
          <w:rFonts w:hint="eastAsia" w:ascii="黑体" w:hAnsi="黑体" w:eastAsia="黑体"/>
          <w:sz w:val="30"/>
        </w:rPr>
        <w:t>二、</w:t>
      </w:r>
      <w:r>
        <w:rPr>
          <w:rFonts w:ascii="黑体" w:hAnsi="黑体" w:eastAsia="黑体"/>
          <w:sz w:val="30"/>
        </w:rPr>
        <w:t>年度履职目标完成情况</w:t>
      </w:r>
      <w:r>
        <w:rPr>
          <w:rFonts w:hint="eastAsia" w:ascii="黑体" w:hAnsi="黑体" w:eastAsia="黑体"/>
          <w:sz w:val="30"/>
        </w:rPr>
        <w:t>：</w:t>
      </w:r>
    </w:p>
    <w:p w14:paraId="612F7DFF">
      <w:pPr>
        <w:spacing w:line="360" w:lineRule="auto"/>
        <w:ind w:firstLine="480" w:firstLineChars="200"/>
        <w:rPr>
          <w:rFonts w:ascii="宋体" w:hAnsi="宋体" w:cs="宋体"/>
          <w:sz w:val="24"/>
        </w:rPr>
      </w:pPr>
      <w:r>
        <w:rPr>
          <w:rFonts w:hint="eastAsia" w:ascii="宋体" w:hAnsi="宋体" w:cs="宋体"/>
          <w:sz w:val="24"/>
        </w:rPr>
        <w:t>苏州市红十字会围绕党委政府中心工作，立足本职，积极作为，推动各项工作取得新进展。全市造血干细胞成功捐献数超300例，领跑全国同类城市。“生命安全救护网升级行动”民生实事项目顺利实施，全年开展应急救护培训16.5万余人，新增救护师资350余人，新增配置AED500余台。协助中国红十字会总会在苏成功举办第四届东吴国际人道论坛。派员参加总会“博爱通”操作技能大赛，代表江苏勇夺一等奖。指导兄弟部门代表苏州荣获全省教育系统、消防系统等多个急救技能大赛冠军。
</w:t>
        <w:br/>
        <w:t>（一）强化思想引领，筑牢忠诚根基
</w:t>
        <w:br/>
        <w:t xml:space="preserve">        始终把党的政治建设置于首位，深刻领悟“两个确立”的决定性意义，将增强“四个意识”、坚定“四个自信”、做到“两个维护”贯穿工作全过程。
</w:t>
        <w:br/>
        <w:t>一是抓实抓牢学习教育。将学习贯彻习近平新时代中国特色社会主义思想作为首要政治任务，制定年度理论学习计划，专题研学党的二十届四中全会精神、习近平总书记视察江苏、苏州重要讲话指示精神及对红十字事业的重要指示批示精神。努力提升学习教育实效。发挥党组理论学习中心组“头雁效应”，开展专题学习10次、集中研讨8次，班子成员撰写心得体会13篇。举办专题读书班，专题组织学习《习近平关于加强党的作风建设论述摘编》。坚持学查改一体推进，梳理领导干部个人问题清单11条、班子问题清单7条、集中整治清单3条，全部完成整改销号。
</w:t>
        <w:br/>
        <w:t>二是认真落实各项制度。严格执行“三会一课”、主题党日、组织生活会、民主评议党员等制度，通过党员大会、支委会常态化传达上级决策部署，不断提升党内政治生活的政治性、时代性、原则性、战斗性，引导党员干部在政治立场、方向、原则、道路上始终同党中央保持高度一致。拓展学习教育载体，组织党员干部赴中共苏州独立支部旧址开展“百年征程，初心如一”主题党日活动，观看原创情景党课《一颗火种的前世今生》；组织骨干党员赴周恩来干部学院开展党性教育培训，筑牢信仰之基。不断强化广大党员参与活动的主动性和积极性，进一步强化制度落实的实际效果。
</w:t>
        <w:br/>
        <w:t>三是压实全面从严治党责任。以开年第一会部署全面从严治党暨作风建设工作，深入传达十三届市纪委五次全会及苏州市高质量发展总结暨作风建设大会精神，凝聚干事创业合力。健全责任传导机制，党组班子成员向党组书记递交全面从严治党责任书，领导班子与各部室负责人签订《党风廉政建设责任书》。狠抓巡察“后半篇文章”，落实好慈善领域突出问题整治有关要求，建立整改台账、细化责任清单，确保反馈问题条条整改、件件落实、事事回音，圆满完成整治整改任务。专题开展警示教育，邀请派驻纪检监察组专题授课，引导全体党员干部职工知敬畏、守底线。扎实开展坚决纠治违规吃喝问题，召开专题组织生活会，坚决杜绝有关问题发生。  
</w:t>
        <w:br/>
        <w:t>（二）聚焦民生实事，提升服务效能
</w:t>
        <w:br/>
        <w:t>坚持以人民为中心的理念，切实将“三救”工作融入全市应急体系建设和为民办实事项目，努力织就百姓生命健康安全的防护网，筑牢公众生命安全之基，打造红十字人道服务的民心工程。  
</w:t>
        <w:br/>
        <w:t>一是努力推进救护技能普及。牵头组织实施“生命安全救护网升级行动”民生实事项目，全年开展救护技能培训16.5万人，其中持证培训3.5万余人。扎实推进救护培训进校园，在苏州市职业大学、苏州卫生职业技术学院等8所高校为师生开展初级救护员培训近万人。落实军民融合发展要求，积极开展救护培训进军营，为驻苏某部卫生员开展20余场专场培训，完成初级救护员培训超千人。向市纪委监委、苏州革命博物馆、第二工人文化宫、“苏超”苏州队等捐赠AED19台，配套开展救护培训175人。市民自救互救能力显著提升，地铁、商超、校园等多种场景下发生市民使用AED成功救人案例。
</w:t>
        <w:br/>
        <w:t>二是大力加强师资基地建设。通过上级调训、承办培训等方式，年内共培训师资350余人，其中自筹资金新培训师资270名。积极推进培训阵地建设。按照市（区）有基地、乡镇和重要区域有培训（服务）站点的目标，大抓救护培训阵地建设。已建成标准化救护培训基地10个、多用途救护培训点位57个，形成较为完善的培训阵地体系和网络，基本满足市民就近学急救的需求。加强与有关单位的联系共建。与市教育局合作，组织全市教育系统师资强化集训，勇夺省教育厅组织的全省中小学急救教育展示活动一等奖。与苏州消防支队合作，组织苏州消防系统急救培训试点，夺得省消防总队组织的全省消防系统首届应急救护技能竞赛冠军。与市总工会联系，开展急救进企业专项活动，全年企业培训营收达90万元左右。
</w:t>
        <w:br/>
        <w:t>三是精心打造过硬救援队伍。坚持平战结合，加强队伍正规化、专业化建设。积极组织队员参加上级培训，先后派出6名救援队员参加省红会东台、泰州培训。组织队员常态化开展志愿服务和救援保障工作。清明期间，参与捐献纪念园集体悼念期间值班值勤，服务群众近200小时2000余人次；全程参与金鸡湖龙舟赛赛事保障任务，维护观赛秩序，对受伤队员、观众及时提供现场救护50余人次；组织5名队员参加红气球淮安站挑战赛；参与市减灾委组织的狮山公园市集宣传等活动，累计出动100多人次。组织全队开展综合演练，对赈济救援和大众卫生科目进行考核验收，为突发情况处置做好应急准备。
</w:t>
        <w:br/>
        <w:t>（三）夯实基层基础，推进人道服务
</w:t>
        <w:br/>
        <w:t>坚持抓基层打基础，把基层组织建设作为推进人道为民服务的根本落脚点，不断完善人道服务制度体系，为保护人的生命健康提供坚实支撑。
</w:t>
        <w:br/>
        <w:t>一是科学规范组织管理。召开八届五次理事会议，专门邀请市委分管领导参加。指导张家港市红十字会按期完成换届选举。进一步规范监事会设置，市、县两级全部落实副监事长到编。持续做好《红十字医疗卫生机构管理办法》学习宣传，推进基层组织规范化建设。开展红十字冠名和标志使用相关问题整治工作，组织11家冠名单位赴上海参观学习。指导苏大附二院和科技城医院做好申报冠名单位有关工作。聚力做好基层“博爱家园”项目，联系爱心企业、爱心人士开办“博爱超市”，促进人道项目开展。不断提升学校红十字会建设质量。新发展江苏省苏州技师学院成立学校红十字会。苏州市第五中学校和苏州健雄职业技术学院被中国红十字会总会评为“全国红十字模范单位”。
</w:t>
        <w:br/>
        <w:t>二是积极做好志愿服务。联合市卫健委、市急救中心和苏州市立医院，培育建设“市立医心”红十字志愿服务队，指导苏州第五人民医院组建南丁格尔志愿服务队。组织实施35个省、市两级“博爱青春”暑期志愿服务项目，以及9个“红十字青少年志愿服务项目发展计划”项目，规模创历史之最。先后组织1000多名大学生志愿者，深入苏州及周边城市的乡村、社区、学校，开展了各具特色的红十字志愿服务活动，服务总时长超4000小时，受益6万余人。广泛层开展“红十字博爱送健康”活动，开展各类义诊科普宣传活动300余场，累计志愿服务1万余小时，3万余人受益。
</w:t>
        <w:br/>
        <w:t>三是捐献工作有序推进。修订完善《苏州市遗体捐献管理办法》，新增苏大附二院为造血干细胞采集医院，有效防范造血干细胞捐献工作中的风险隐患。认真开展“志愿者保留”项目，先后电话回访造血干细胞捐献志愿者3.2万人，回访率达100%。成功举办“致敬希望英雄”——江苏省“世界骨髓捐献者日”暨苏州市造血干细胞捐献突破300例宣传活动，引发社会广泛关注。全年完成造血干细胞报名采样2065人，实现造血干细胞成功捐献34例。认真组织“生命·希望”缅怀致敬遗体（器官、角膜）捐献者活动，研究出台《苏州市捐献者（家庭）关爱救助办法》。积极与市数据局沟通，开发苏州市遗体（角膜）捐献信息化平台。年内，新增线上报名登记捐献志愿者1740人，新增遗体捐献185例、器官捐献30例、角膜捐献100例。
</w:t>
        <w:br/>
        <w:t>（四）创新传播方式，凝聚人道力量
</w:t>
        <w:br/>
        <w:t>一是守牢意识形态阵地。严格落实意识形态工作责任制，定期开展风险研判与排查。组织市、区两级红十字会工作人员，邀请专家讲授“红十字文化传播”新年第一课。专题举办全市红十字会系统宣传工作培训班，创新运用突发事件桌面推演的形式，强化宣传队伍网络时代的风险意识和应对能力。抓好官网官微主阵地管理，做到信息发布专人负责、按级审批。全年在市级以上外媒报道千余次，发布官微文章124篇，阅读量近7万，粉丝数超12万人。
</w:t>
        <w:br/>
        <w:t>二是强化动员筹资能力。年内，全市红十字会系统接收捐赠款物4000余万元，发放救助款物3900余万元，救助4万余人次。积极适应网络筹资新模式，认真筹划项目。结合“换位跑一次”，会领导带队深入一线调研，共上线10个网络筹资项目，“5.8”博爱周和“9.9”公益日期间筹款近1000万元。认真落实对口支援和协作合作任务，向河南信阳捐赠50万元，援建红十字生命安全教育基地；向西安周至捐赠37万元，改善乡镇卫生院医疗设施；向新疆、青海对口支援地区捐赠价值近300万元的冬衣。主动扩展“博爱光明行”项目，免费为青海玉树8岁女孩实施结膜瓣遮盖手术、安装义眼。西藏日喀则地震后，向灾区捐赠价值72.5万元的抗震保温板房，并在灾后第3天就组织技术工人安装到位。甘肃榆中县泥石流发生后，向灾区捐赠价值150余万元保暖衣物，解灾民燃眉之急。香港大埔火灾后，接收社会各界捐款240余万元，及时按要求转汇到位。
</w:t>
        <w:br/>
        <w:t>三是透明红会建设有力有效。围绕“红十字标志使用、项目执行、资金使用、信息公开”等重点领域，系统制定《专项整治自查清单》，细化28项具体排查指标，确保自查无死角、无盲区。指导县级红十字会逐项核查近3年工作台账，累计梳理档案资料1200余册，形成问题台账。所有问题均建立台账，明确问题性质、责任主体及具体表现，为全面整改到位奠定了坚实基础。认真落实透明度指数建设的有关要求，做好“博爱中国”平台信息公开，督促县级红十字会及时发布线上项目进展及捐赠公开公示工作。通过便民服务热线、寒山闻钟等渠道，及时回应社会关切和群众需求，主动做好舆论引导，主动接受社会监督。</w:t>
      </w:r>
    </w:p>
    <w:p w14:paraId="5F3839C4">
      <w:pPr>
        <w:spacing w:line="360" w:lineRule="auto"/>
        <w:ind w:left="600"/>
        <w:rPr>
          <w:rFonts w:ascii="黑体" w:hAnsi="黑体" w:eastAsia="黑体"/>
          <w:sz w:val="30"/>
        </w:rPr>
      </w:pPr>
      <w:r>
        <w:rPr>
          <w:rFonts w:hint="eastAsia" w:ascii="黑体" w:hAnsi="黑体" w:eastAsia="黑体"/>
          <w:sz w:val="30"/>
        </w:rPr>
        <w:t>三、部门（单位）概况</w:t>
      </w:r>
    </w:p>
    <w:p w14:paraId="7D338969">
      <w:pPr>
        <w:spacing w:line="360" w:lineRule="auto"/>
        <w:ind w:firstLine="480" w:firstLineChars="200"/>
        <w:rPr>
          <w:rFonts w:ascii="宋体" w:hAnsi="宋体" w:cs="宋体"/>
          <w:sz w:val="24"/>
        </w:rPr>
      </w:pPr>
      <w:r>
        <w:rPr>
          <w:rFonts w:hint="eastAsia" w:ascii="宋体" w:hAnsi="宋体" w:cs="宋体"/>
          <w:sz w:val="24"/>
        </w:rPr>
        <w:t>苏州市红十字会共有1家预算单位，即苏州市红十字会（本级）.根据部门职责分工，本部门内设机构包括：办公室（监事会办公室）、组织宣传部、赈济救护部、捐献工作部。本部门无下属单位。2025年底苏州市红十字会有参公人员16人，公益性岗位4人，较上年减少2人。</w:t>
      </w:r>
    </w:p>
    <w:p w14:paraId="201729EA">
      <w:pPr>
        <w:spacing w:line="360" w:lineRule="auto"/>
        <w:ind w:left="600"/>
        <w:rPr>
          <w:rFonts w:ascii="黑体" w:hAnsi="黑体" w:eastAsia="黑体"/>
          <w:sz w:val="30"/>
        </w:rPr>
      </w:pPr>
      <w:r>
        <w:rPr>
          <w:rFonts w:hint="eastAsia" w:ascii="黑体" w:hAnsi="黑体" w:eastAsia="黑体"/>
          <w:sz w:val="30"/>
        </w:rPr>
        <w:t>四、部门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整体支出绩效实现情况</w:t>
      </w:r>
    </w:p>
    <w:p w14:paraId="7D81C34A">
      <w:pPr>
        <w:spacing w:line="360" w:lineRule="auto"/>
        <w:ind w:firstLine="480" w:firstLineChars="200"/>
        <w:rPr>
          <w:rFonts w:ascii="宋体" w:hAnsi="宋体" w:cs="宋体"/>
          <w:sz w:val="24"/>
        </w:rPr>
      </w:pPr>
      <w:r>
        <w:rPr>
          <w:rFonts w:hint="eastAsia" w:ascii="宋体" w:hAnsi="宋体" w:cs="宋体"/>
          <w:sz w:val="24"/>
        </w:rPr>
        <w:t>2025年度，本部门整体支出纳入绩效目标管理，涉及财政性资金1181.2万元；本部门共10个项目纳入绩效目标管理，涉及财政性资金合计346.05万元，占财政性资金(人员类和运转类中的公用经费项目支出除外)总额的比例为 100%。
</w:t>
        <w:br/>
        <w:t>（一）全面推行零基预算下的绩效目标管理
</w:t>
        <w:br/>
        <w:t>将部门预算项目及部门整体支出全面纳入绩效管理体系。依据部门职能职责与项目实施内容、范围及预期成效，科学设定绩效目标。由本单位对绩效目标在规范性、完整性与合理性等方面予以审核，以提升绩效目标编制质量，充分发挥目标管理对预算编制工作的正向引导作用。
</w:t>
        <w:br/>
        <w:t>（二）积极推进项目绩效评估进程
</w:t>
        <w:br/>
        <w:t>在强化预算编制流程的同时，增强对预算执行的监督力度并开展执行成效评估，确保绩效目标贯穿预算管理的前期、中期和后期各阶段。全面开展单位内部自我评估，并积极配合财政部门对特定项目进行复评，及时公开反馈评估结果，以促进支出管理的强化和下一年度预算编制审查工作的完善。在部门预算执行和项目实施过程中，对绩效目标实现程度和预算执行进度实施“双监控”，一旦发现问题及时纠正，确保绩效目标按时、按质、按量达成。在项目执行过程中，对所有绩效目标进行严格监控，要求这些目标尽可能实现量化且具备可追溯性，以杜绝数据虚构。 
</w:t>
        <w:br/>
        <w:t>（三）强化关键项目的绩效监督工作
</w:t>
        <w:br/>
        <w:t>对市立项目“红十字公益服务工作经费”开展专项自主监控，以确保对项目进展情况进行持续跟踪。2025年度红十字公益服务工作经费的绩效目标主要聚焦于志愿者服务与造血干细胞采集工作，针对项目中的大额资金支出部分设定相应的绩效目标。同时，对2024年度市立项目“公益性应急救护培训”组织第三方绩效评估，并依据第三方评估的要求与结果，对2025年“红十字救护培训”项目（政府性基金项目）实施绩效监督。</w:t>
      </w:r>
    </w:p>
    <w:p w14:paraId="1B2DC329">
      <w:pPr>
        <w:spacing w:line="360" w:lineRule="auto"/>
        <w:ind w:left="600"/>
        <w:rPr>
          <w:rFonts w:ascii="黑体" w:hAnsi="黑体" w:eastAsia="黑体"/>
          <w:sz w:val="30"/>
        </w:rPr>
      </w:pPr>
      <w:r>
        <w:rPr>
          <w:rFonts w:hint="eastAsia" w:ascii="黑体" w:hAnsi="黑体" w:eastAsia="黑体"/>
          <w:sz w:val="30"/>
        </w:rPr>
        <w:t>五、部门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整体支出绩效中存</w:t>
      </w:r>
      <w:r>
        <w:rPr>
          <w:rFonts w:ascii="黑体" w:hAnsi="黑体" w:eastAsia="黑体"/>
          <w:sz w:val="30"/>
        </w:rPr>
        <w:t>在问题</w:t>
      </w:r>
      <w:r>
        <w:rPr>
          <w:rFonts w:hint="eastAsia" w:ascii="黑体" w:hAnsi="黑体" w:eastAsia="黑体"/>
          <w:sz w:val="30"/>
        </w:rPr>
        <w:t>及</w:t>
      </w:r>
      <w:r>
        <w:rPr>
          <w:rFonts w:ascii="黑体" w:hAnsi="黑体" w:eastAsia="黑体"/>
          <w:sz w:val="30"/>
        </w:rPr>
        <w:t>改进措施</w:t>
      </w:r>
    </w:p>
    <w:p w14:paraId="626F8FAD">
      <w:pPr>
        <w:spacing w:line="360" w:lineRule="auto"/>
        <w:ind w:firstLine="480" w:firstLineChars="200"/>
        <w:rPr>
          <w:rFonts w:ascii="宋体" w:hAnsi="宋体" w:cs="宋体"/>
          <w:sz w:val="24"/>
        </w:rPr>
      </w:pPr>
      <w:r>
        <w:rPr>
          <w:rFonts w:hint="eastAsia" w:ascii="宋体" w:hAnsi="宋体" w:cs="宋体"/>
          <w:sz w:val="24"/>
        </w:rPr>
        <w:t>存在的问题：一是评价标准不明确，偏向定性且缺乏清晰界定，易导致评价结果不准确或引发争议；二是反馈机制存在短板，部门整体绩效评价结果的反馈环节尚未得到足够重视；三是过度侧重短期成果，致使部门对长期发展目标有所忽视。
</w:t>
        <w:br/>
        <w:t>改进措施：一是进一步明确工作职责。需充分认识自主预算绩效管理工作的重要性与必要性，细化各部室的预算绩效管理任务，保障该项工作顺利实施、有序推进；二是进一步明晰工作流程。深入学习预算绩效管理相关规定，明确工作步骤与业务流程，深化绩效评价方法的运用。开展自主绩效管理工作时，遵循“突出重点、分类管理”原则，结合实际分析项目特性，明确管理重点，实施分类别、分层次的个性化预算绩效管理；三是进一步加强沟通协作。部门自主预算绩效管理工作涉及我会多个部室，覆盖面较广，各部室需强化沟通协调，注重团队协作，精心组织实施，推动自主绩效管理工作取得实效。</w:t>
      </w:r>
    </w:p>
    <w:p w14:paraId="088B966C">
      <w:pPr>
        <w:spacing w:line="360" w:lineRule="auto"/>
        <w:ind w:left="600"/>
        <w:rPr>
          <w:rFonts w:ascii="黑体" w:hAnsi="黑体" w:eastAsia="黑体"/>
          <w:sz w:val="30"/>
        </w:rPr>
      </w:pPr>
      <w:r>
        <w:rPr>
          <w:rFonts w:hint="eastAsia" w:ascii="黑体" w:hAnsi="黑体" w:eastAsia="黑体"/>
          <w:sz w:val="30"/>
        </w:rPr>
        <w:t>六、</w:t>
      </w:r>
      <w:r>
        <w:rPr>
          <w:rFonts w:ascii="黑体" w:hAnsi="黑体" w:eastAsia="黑体"/>
          <w:sz w:val="30"/>
        </w:rPr>
        <w:t>绩效自评</w:t>
      </w:r>
      <w:r>
        <w:rPr>
          <w:rFonts w:hint="eastAsia" w:ascii="黑体" w:hAnsi="黑体" w:eastAsia="黑体"/>
          <w:sz w:val="30"/>
        </w:rPr>
        <w:t>结果</w:t>
      </w:r>
      <w:r>
        <w:rPr>
          <w:rFonts w:ascii="黑体" w:hAnsi="黑体" w:eastAsia="黑体"/>
          <w:sz w:val="30"/>
        </w:rPr>
        <w:t>拟应用和公开</w:t>
      </w:r>
      <w:r>
        <w:rPr>
          <w:rFonts w:hint="eastAsia" w:ascii="黑体" w:hAnsi="黑体" w:eastAsia="黑体"/>
          <w:sz w:val="30"/>
        </w:rPr>
        <w:t>情况</w:t>
      </w:r>
    </w:p>
    <w:p w14:paraId="19BBA852">
      <w:pPr>
        <w:spacing w:line="360" w:lineRule="auto"/>
        <w:ind w:firstLine="480" w:firstLineChars="200"/>
        <w:rPr>
          <w:rFonts w:ascii="宋体" w:hAnsi="宋体" w:cs="宋体"/>
          <w:sz w:val="24"/>
        </w:rPr>
      </w:pPr>
      <w:r>
        <w:rPr>
          <w:rFonts w:hint="eastAsia" w:ascii="宋体" w:hAnsi="宋体" w:cs="宋体"/>
          <w:sz w:val="24"/>
        </w:rPr>
        <w:t>1. 将自评价结果作为以后年度编制预算和安排资金的重要依据，具体在预算编制过程中，依据自评价结果对项目进行综合评估和优先级排序，确保资源分配更加科学合理。对重点项目自评价结果进行公开，通过官方网站、年度报告及内部信息平台等渠道发布，以提升透明度和公众监督力度。绩效评价结果差的项目，将根据评价等级和问题严重性，相应调减或取消其预算安排，甚至暂停后续资金支持；而结果好的项目，则优先安排预算，并可能在资金分配上给予倾斜，以激励高效执行。根据绩效评价中发现的问题，及时组织专题分析，提出针对性的改进措施和解决方案，并制定明确的整改时间表与责任分工。督促执行部室整改到位，通过定期跟踪检查、进度汇报和反馈机制，确保问题得到彻底解决，从而逐步优化整体绩效管理水平。同时，将评价结果纳入各部室工作目标考核范畴，作为年度绩效考核、部门评优的重要依据，以强化责任落实和绩效导向的文化建设。
</w:t>
        <w:br/>
        <w:t>2. 绩效目标及自评价报告、再评价评分表均已公开。具体公开内容包括：年度绩效目标设定文件、各部室提交的自评价报告全文、再评价过程的评分表及详细评价意见。</w:t>
      </w:r>
    </w:p>
    <w:p w14:paraId="77536DBD">
      <w:pPr>
        <w:spacing w:line="360" w:lineRule="auto"/>
        <w:rPr>
          <w:rFonts w:ascii="黑体" w:hAnsi="黑体" w:eastAsia="黑体"/>
          <w:sz w:val="30"/>
        </w:rPr>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type="lines" w:linePitch="312" w:charSpace="0"/>
        </w:sectPr>
      </w:pPr>
    </w:p>
    <w:p w14:paraId="280D262C">
      <w:pPr>
        <w:numPr>
          <w:ilvl w:val="0"/>
          <w:numId w:val="1"/>
        </w:numPr>
        <w:spacing w:line="360" w:lineRule="auto"/>
        <w:ind w:left="600"/>
        <w:rPr>
          <w:rFonts w:ascii="黑体" w:hAnsi="黑体" w:eastAsia="黑体"/>
          <w:sz w:val="30"/>
        </w:rPr>
      </w:pPr>
      <w:r>
        <w:rPr>
          <w:rFonts w:hint="eastAsia" w:ascii="黑体" w:hAnsi="黑体" w:eastAsia="黑体"/>
          <w:sz w:val="30"/>
        </w:rPr>
        <w:t>预算信息</w:t>
      </w:r>
    </w:p>
    <w:p w14:paraId="6B7F7FE6">
      <w:pPr>
        <w:spacing w:line="360" w:lineRule="auto"/>
        <w:ind w:left="600"/>
        <w:rPr>
          <w:rFonts w:ascii="黑体" w:hAnsi="黑体" w:eastAsia="黑体"/>
          <w:sz w:val="30"/>
        </w:rPr>
      </w:pPr>
    </w:p>
    <w:tbl>
      <w:tblPr>
        <w:tblStyle w:val="5"/>
        <w:tblW w:w="14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2268"/>
        <w:gridCol w:w="2268"/>
        <w:gridCol w:w="2268"/>
        <w:gridCol w:w="2268"/>
        <w:gridCol w:w="2268"/>
      </w:tblGrid>
      <w:tr w14:paraId="7D63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079" w:type="dxa"/>
            <w:shd w:val="clear" w:color="000000" w:fill="BFBFBF"/>
            <w:vAlign w:val="center"/>
          </w:tcPr>
          <w:p w14:paraId="4BC6E322">
            <w:pPr>
              <w:widowControl/>
              <w:jc w:val="center"/>
              <w:rPr>
                <w:rFonts w:ascii="宋体" w:hAnsi="宋体" w:cs="宋体"/>
                <w:b/>
                <w:bCs/>
                <w:kern w:val="0"/>
                <w:sz w:val="24"/>
              </w:rPr>
            </w:pPr>
            <w:r>
              <w:rPr>
                <w:rFonts w:hint="eastAsia" w:ascii="宋体" w:hAnsi="宋体" w:cs="宋体"/>
                <w:b/>
                <w:bCs/>
                <w:kern w:val="0"/>
                <w:sz w:val="24"/>
              </w:rPr>
              <w:t>本年度预算资金（万元）</w:t>
            </w:r>
            <w:r>
              <w:rPr>
                <w:rFonts w:ascii="宋体" w:hAnsi="宋体" w:cs="宋体" w:eastAsia="宋体"/>
                <w:b w:val="true"/>
                <w:color w:val=""/>
                <w:sz w:val="24"/>
                <w:u w:val="none"/>
              </w:rPr>
              <w:t/>
            </w:r>
          </w:p>
        </w:tc>
        <w:tc>
          <w:tcPr>
            <w:tcW w:w="2268" w:type="dxa"/>
            <w:shd w:val="clear" w:color="000000" w:fill="BFBFBF"/>
            <w:vAlign w:val="center"/>
          </w:tcPr>
          <w:p w14:paraId="7E2E6F84">
            <w:pPr>
              <w:widowControl/>
              <w:jc w:val="center"/>
              <w:rPr>
                <w:rFonts w:ascii="宋体" w:hAnsi="宋体" w:cs="宋体"/>
                <w:b/>
                <w:bCs/>
                <w:kern w:val="0"/>
                <w:sz w:val="24"/>
              </w:rPr>
            </w:pPr>
            <w:r>
              <w:rPr>
                <w:rFonts w:hint="eastAsia" w:ascii="宋体" w:hAnsi="宋体" w:cs="宋体"/>
                <w:b/>
                <w:bCs/>
                <w:kern w:val="0"/>
                <w:sz w:val="24"/>
              </w:rPr>
              <w:t>年初预算数（万元）</w:t>
            </w:r>
          </w:p>
        </w:tc>
        <w:tc>
          <w:tcPr>
            <w:tcW w:w="2268" w:type="dxa"/>
            <w:shd w:val="clear" w:color="000000" w:fill="BFBFBF"/>
            <w:vAlign w:val="center"/>
          </w:tcPr>
          <w:p w14:paraId="74B8B6D4">
            <w:pPr>
              <w:widowControl/>
              <w:jc w:val="center"/>
              <w:rPr>
                <w:rFonts w:ascii="宋体" w:hAnsi="宋体" w:cs="宋体"/>
                <w:b/>
                <w:bCs/>
                <w:kern w:val="0"/>
                <w:sz w:val="24"/>
              </w:rPr>
            </w:pPr>
            <w:r>
              <w:rPr>
                <w:rFonts w:hint="eastAsia" w:ascii="宋体" w:hAnsi="宋体" w:cs="宋体"/>
                <w:b/>
                <w:bCs/>
                <w:kern w:val="0"/>
                <w:sz w:val="24"/>
              </w:rPr>
              <w:t>上年度结转及当年预算追加追减数(万元）</w:t>
            </w:r>
          </w:p>
        </w:tc>
        <w:tc>
          <w:tcPr>
            <w:tcW w:w="2268" w:type="dxa"/>
            <w:shd w:val="clear" w:color="000000" w:fill="BFBFBF"/>
            <w:vAlign w:val="center"/>
          </w:tcPr>
          <w:p w14:paraId="218C2C18">
            <w:pPr>
              <w:widowControl/>
              <w:jc w:val="center"/>
              <w:rPr>
                <w:rFonts w:ascii="宋体" w:hAnsi="宋体" w:cs="宋体"/>
                <w:b/>
                <w:bCs/>
                <w:kern w:val="0"/>
                <w:sz w:val="24"/>
              </w:rPr>
            </w:pPr>
            <w:r>
              <w:rPr>
                <w:rFonts w:hint="eastAsia" w:ascii="宋体" w:hAnsi="宋体" w:cs="宋体"/>
                <w:b/>
                <w:bCs/>
                <w:kern w:val="0"/>
                <w:sz w:val="24"/>
              </w:rPr>
              <w:t>调整预算数（万元）</w:t>
            </w:r>
          </w:p>
        </w:tc>
        <w:tc>
          <w:tcPr>
            <w:tcW w:w="2268" w:type="dxa"/>
            <w:shd w:val="clear" w:color="000000" w:fill="BFBFBF"/>
            <w:vAlign w:val="center"/>
          </w:tcPr>
          <w:p w14:paraId="6C2574C8">
            <w:pPr>
              <w:widowControl/>
              <w:jc w:val="center"/>
              <w:rPr>
                <w:rFonts w:ascii="宋体" w:hAnsi="宋体" w:cs="宋体"/>
                <w:b/>
                <w:bCs/>
                <w:kern w:val="0"/>
                <w:sz w:val="24"/>
              </w:rPr>
            </w:pPr>
            <w:r>
              <w:rPr>
                <w:rFonts w:hint="eastAsia" w:ascii="宋体" w:hAnsi="宋体" w:cs="宋体"/>
                <w:b/>
                <w:bCs/>
                <w:kern w:val="0"/>
                <w:sz w:val="24"/>
              </w:rPr>
              <w:t>实际支出数（万元）</w:t>
            </w:r>
          </w:p>
        </w:tc>
        <w:tc>
          <w:tcPr>
            <w:tcW w:w="2268" w:type="dxa"/>
            <w:shd w:val="clear" w:color="000000" w:fill="BFBFBF"/>
            <w:vAlign w:val="center"/>
          </w:tcPr>
          <w:p w14:paraId="3899CF22">
            <w:pPr>
              <w:widowControl/>
              <w:jc w:val="center"/>
              <w:rPr>
                <w:rFonts w:ascii="宋体" w:hAnsi="宋体" w:cs="宋体"/>
                <w:b/>
                <w:bCs/>
                <w:kern w:val="0"/>
                <w:sz w:val="24"/>
              </w:rPr>
            </w:pPr>
            <w:r>
              <w:rPr>
                <w:rFonts w:hint="eastAsia" w:ascii="宋体" w:hAnsi="宋体" w:cs="宋体"/>
                <w:b/>
                <w:bCs/>
                <w:kern w:val="0"/>
                <w:sz w:val="24"/>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预算总金额</w:t>
            </w:r>
          </w:p>
        </w:tc>
        <w:tc>
          <w:tcPr>
            <w:tcW w:w="2268" w:type="dxa"/>
            <w:vAlign w:val="center"/>
          </w:tcPr>
          <w:p>
            <w:pPr>
              <w:widowControl/>
              <w:jc w:val="center"/>
              <w:rPr>
                <w:rFonts w:ascii="宋体" w:hAnsi="宋体" w:cs="宋体"/>
                <w:kern w:val="0"/>
                <w:sz w:val="24"/>
              </w:rPr>
            </w:pPr>
            <w:r>
              <w:rPr>
                <w:rFonts w:hint="eastAsia" w:ascii="宋体" w:hAnsi="宋体" w:cs="宋体"/>
                <w:sz w:val="24"/>
              </w:rPr>
              <w:t>1181.2</w:t>
            </w:r>
          </w:p>
        </w:tc>
        <w:tc>
          <w:tcPr>
            <w:tcW w:w="2268" w:type="dxa"/>
            <w:vAlign w:val="center"/>
          </w:tcPr>
          <w:p>
            <w:pPr>
              <w:widowControl/>
              <w:jc w:val="center"/>
              <w:rPr>
                <w:rFonts w:ascii="宋体" w:hAnsi="宋体" w:cs="宋体"/>
                <w:sz w:val="24"/>
              </w:rPr>
            </w:pPr>
            <w:r>
              <w:rPr>
                <w:rFonts w:hint="eastAsia" w:ascii="宋体" w:hAnsi="宋体" w:cs="宋体"/>
                <w:sz w:val="24"/>
              </w:rPr>
              <w:t>-76.57</w:t>
            </w:r>
          </w:p>
        </w:tc>
        <w:tc>
          <w:tcPr>
            <w:tcW w:w="2268" w:type="dxa"/>
            <w:vAlign w:val="center"/>
          </w:tcPr>
          <w:p>
            <w:pPr>
              <w:widowControl/>
              <w:jc w:val="center"/>
              <w:rPr>
                <w:rFonts w:ascii="宋体" w:hAnsi="宋体" w:cs="宋体"/>
                <w:sz w:val="24"/>
              </w:rPr>
            </w:pPr>
            <w:r>
              <w:rPr>
                <w:rFonts w:hint="eastAsia" w:ascii="宋体" w:hAnsi="宋体" w:cs="宋体"/>
                <w:sz w:val="24"/>
              </w:rPr>
              <w:t>1104.63</w:t>
            </w:r>
          </w:p>
        </w:tc>
        <w:tc>
          <w:tcPr>
            <w:tcW w:w="2268" w:type="dxa"/>
            <w:vAlign w:val="center"/>
          </w:tcPr>
          <w:p>
            <w:pPr>
              <w:widowControl/>
              <w:jc w:val="center"/>
              <w:rPr>
                <w:rFonts w:ascii="宋体" w:hAnsi="宋体" w:cs="宋体"/>
                <w:sz w:val="24"/>
              </w:rPr>
            </w:pPr>
            <w:r>
              <w:rPr>
                <w:rFonts w:hint="eastAsia" w:ascii="宋体" w:hAnsi="宋体" w:cs="宋体"/>
                <w:sz w:val="24"/>
              </w:rPr>
              <w:t>1074.07</w:t>
            </w:r>
          </w:p>
        </w:tc>
        <w:tc>
          <w:tcPr>
            <w:tcW w:w="2268" w:type="dxa"/>
            <w:vAlign w:val="center"/>
          </w:tcPr>
          <w:p>
            <w:pPr>
              <w:widowControl/>
              <w:jc w:val="center"/>
              <w:rPr>
                <w:rFonts w:ascii="宋体" w:hAnsi="宋体" w:cs="宋体"/>
                <w:sz w:val="24"/>
              </w:rPr>
            </w:pPr>
            <w:r>
              <w:rPr>
                <w:rFonts w:hint="eastAsia" w:ascii="宋体" w:hAnsi="宋体" w:cs="宋体"/>
                <w:sz w:val="24"/>
              </w:rPr>
              <w:t>97.23%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基本支出</w:t>
            </w:r>
          </w:p>
        </w:tc>
        <w:tc>
          <w:tcPr>
            <w:tcW w:w="2268" w:type="dxa"/>
            <w:vAlign w:val="center"/>
          </w:tcPr>
          <w:p>
            <w:pPr>
              <w:widowControl/>
              <w:jc w:val="center"/>
              <w:rPr>
                <w:rFonts w:ascii="宋体" w:hAnsi="宋体" w:cs="宋体"/>
                <w:kern w:val="0"/>
                <w:sz w:val="24"/>
              </w:rPr>
            </w:pPr>
            <w:r>
              <w:rPr>
                <w:rFonts w:hint="eastAsia" w:ascii="宋体" w:hAnsi="宋体" w:cs="宋体"/>
                <w:sz w:val="24"/>
              </w:rPr>
              <w:t>835.15</w:t>
            </w:r>
          </w:p>
        </w:tc>
        <w:tc>
          <w:tcPr>
            <w:tcW w:w="2268" w:type="dxa"/>
            <w:vAlign w:val="center"/>
          </w:tcPr>
          <w:p>
            <w:pPr>
              <w:widowControl/>
              <w:jc w:val="center"/>
              <w:rPr>
                <w:rFonts w:ascii="宋体" w:hAnsi="宋体" w:cs="宋体"/>
                <w:sz w:val="24"/>
              </w:rPr>
            </w:pPr>
            <w:r>
              <w:rPr>
                <w:rFonts w:hint="eastAsia" w:ascii="宋体" w:hAnsi="宋体" w:cs="宋体"/>
                <w:sz w:val="24"/>
              </w:rPr>
              <w:t>12.53</w:t>
            </w:r>
          </w:p>
        </w:tc>
        <w:tc>
          <w:tcPr>
            <w:tcW w:w="2268" w:type="dxa"/>
            <w:vAlign w:val="center"/>
          </w:tcPr>
          <w:p>
            <w:pPr>
              <w:widowControl/>
              <w:jc w:val="center"/>
              <w:rPr>
                <w:rFonts w:ascii="宋体" w:hAnsi="宋体" w:cs="宋体"/>
                <w:sz w:val="24"/>
              </w:rPr>
            </w:pPr>
            <w:r>
              <w:rPr>
                <w:rFonts w:hint="eastAsia" w:ascii="宋体" w:hAnsi="宋体" w:cs="宋体"/>
                <w:sz w:val="24"/>
              </w:rPr>
              <w:t>847.68</w:t>
            </w:r>
          </w:p>
        </w:tc>
        <w:tc>
          <w:tcPr>
            <w:tcW w:w="2268" w:type="dxa"/>
            <w:vAlign w:val="center"/>
          </w:tcPr>
          <w:p>
            <w:pPr>
              <w:widowControl/>
              <w:jc w:val="center"/>
              <w:rPr>
                <w:rFonts w:ascii="宋体" w:hAnsi="宋体" w:cs="宋体"/>
                <w:sz w:val="24"/>
              </w:rPr>
            </w:pPr>
            <w:r>
              <w:rPr>
                <w:rFonts w:hint="eastAsia" w:ascii="宋体" w:hAnsi="宋体" w:cs="宋体"/>
                <w:sz w:val="24"/>
              </w:rPr>
              <w:t>817.94</w:t>
            </w:r>
          </w:p>
        </w:tc>
        <w:tc>
          <w:tcPr>
            <w:tcW w:w="2268" w:type="dxa"/>
            <w:vAlign w:val="center"/>
          </w:tcPr>
          <w:p>
            <w:pPr>
              <w:widowControl/>
              <w:jc w:val="center"/>
              <w:rPr>
                <w:rFonts w:ascii="宋体" w:hAnsi="宋体" w:cs="宋体"/>
                <w:sz w:val="24"/>
              </w:rPr>
            </w:pPr>
            <w:r>
              <w:rPr>
                <w:rFonts w:hint="eastAsia" w:ascii="宋体" w:hAnsi="宋体" w:cs="宋体"/>
                <w:sz w:val="24"/>
              </w:rPr>
              <w:t>96.49%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项目支出</w:t>
            </w:r>
          </w:p>
        </w:tc>
        <w:tc>
          <w:tcPr>
            <w:tcW w:w="2268" w:type="dxa"/>
            <w:vAlign w:val="center"/>
          </w:tcPr>
          <w:p>
            <w:pPr>
              <w:widowControl/>
              <w:jc w:val="center"/>
              <w:rPr>
                <w:rFonts w:ascii="宋体" w:hAnsi="宋体" w:cs="宋体"/>
                <w:kern w:val="0"/>
                <w:sz w:val="24"/>
              </w:rPr>
            </w:pPr>
            <w:r>
              <w:rPr>
                <w:rFonts w:hint="eastAsia" w:ascii="宋体" w:hAnsi="宋体" w:cs="宋体"/>
                <w:sz w:val="24"/>
              </w:rPr>
              <w:t>346.05</w:t>
            </w:r>
          </w:p>
        </w:tc>
        <w:tc>
          <w:tcPr>
            <w:tcW w:w="2268" w:type="dxa"/>
            <w:vAlign w:val="center"/>
          </w:tcPr>
          <w:p>
            <w:pPr>
              <w:widowControl/>
              <w:jc w:val="center"/>
              <w:rPr>
                <w:rFonts w:ascii="宋体" w:hAnsi="宋体" w:cs="宋体"/>
                <w:sz w:val="24"/>
              </w:rPr>
            </w:pPr>
            <w:r>
              <w:rPr>
                <w:rFonts w:hint="eastAsia" w:ascii="宋体" w:hAnsi="宋体" w:cs="宋体"/>
                <w:sz w:val="24"/>
              </w:rPr>
              <w:t>-89.1</w:t>
            </w:r>
          </w:p>
        </w:tc>
        <w:tc>
          <w:tcPr>
            <w:tcW w:w="2268" w:type="dxa"/>
            <w:vAlign w:val="center"/>
          </w:tcPr>
          <w:p>
            <w:pPr>
              <w:widowControl/>
              <w:jc w:val="center"/>
              <w:rPr>
                <w:rFonts w:ascii="宋体" w:hAnsi="宋体" w:cs="宋体"/>
                <w:sz w:val="24"/>
              </w:rPr>
            </w:pPr>
            <w:r>
              <w:rPr>
                <w:rFonts w:hint="eastAsia" w:ascii="宋体" w:hAnsi="宋体" w:cs="宋体"/>
                <w:sz w:val="24"/>
              </w:rPr>
              <w:t>256.95</w:t>
            </w:r>
          </w:p>
        </w:tc>
        <w:tc>
          <w:tcPr>
            <w:tcW w:w="2268" w:type="dxa"/>
            <w:vAlign w:val="center"/>
          </w:tcPr>
          <w:p>
            <w:pPr>
              <w:widowControl/>
              <w:jc w:val="center"/>
              <w:rPr>
                <w:rFonts w:ascii="宋体" w:hAnsi="宋体" w:cs="宋体"/>
                <w:sz w:val="24"/>
              </w:rPr>
            </w:pPr>
            <w:r>
              <w:rPr>
                <w:rFonts w:hint="eastAsia" w:ascii="宋体" w:hAnsi="宋体" w:cs="宋体"/>
                <w:sz w:val="24"/>
              </w:rPr>
              <w:t>256.13</w:t>
            </w:r>
          </w:p>
        </w:tc>
        <w:tc>
          <w:tcPr>
            <w:tcW w:w="2268" w:type="dxa"/>
            <w:vAlign w:val="center"/>
          </w:tcPr>
          <w:p>
            <w:pPr>
              <w:widowControl/>
              <w:jc w:val="center"/>
              <w:rPr>
                <w:rFonts w:ascii="宋体" w:hAnsi="宋体" w:cs="宋体"/>
                <w:sz w:val="24"/>
              </w:rPr>
            </w:pPr>
            <w:r>
              <w:rPr>
                <w:rFonts w:hint="eastAsia" w:ascii="宋体" w:hAnsi="宋体" w:cs="宋体"/>
                <w:sz w:val="24"/>
              </w:rPr>
              <w:t>99.68%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政策法规普及宣传经费</w:t>
            </w:r>
          </w:p>
        </w:tc>
        <w:tc>
          <w:tcPr>
            <w:tcW w:w="2268" w:type="dxa"/>
            <w:vAlign w:val="center"/>
          </w:tcPr>
          <w:p>
            <w:pPr>
              <w:widowControl/>
              <w:jc w:val="center"/>
              <w:rPr>
                <w:rFonts w:ascii="宋体" w:hAnsi="宋体" w:cs="宋体"/>
                <w:kern w:val="0"/>
                <w:sz w:val="24"/>
              </w:rPr>
            </w:pPr>
            <w:r>
              <w:rPr>
                <w:rFonts w:hint="eastAsia" w:ascii="宋体" w:hAnsi="宋体" w:cs="宋体"/>
                <w:sz w:val="24"/>
              </w:rPr>
              <w:t>3.28</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3.28</w:t>
            </w:r>
          </w:p>
        </w:tc>
        <w:tc>
          <w:tcPr>
            <w:tcW w:w="2268" w:type="dxa"/>
            <w:vAlign w:val="center"/>
          </w:tcPr>
          <w:p>
            <w:pPr>
              <w:widowControl/>
              <w:jc w:val="center"/>
              <w:rPr>
                <w:rFonts w:ascii="宋体" w:hAnsi="宋体" w:cs="宋体"/>
                <w:sz w:val="24"/>
              </w:rPr>
            </w:pPr>
            <w:r>
              <w:rPr>
                <w:rFonts w:hint="eastAsia" w:ascii="宋体" w:hAnsi="宋体" w:cs="宋体"/>
                <w:sz w:val="24"/>
              </w:rPr>
              <w:t>3.28</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专项培训费</w:t>
            </w:r>
          </w:p>
        </w:tc>
        <w:tc>
          <w:tcPr>
            <w:tcW w:w="2268" w:type="dxa"/>
            <w:vAlign w:val="center"/>
          </w:tcPr>
          <w:p>
            <w:pPr>
              <w:widowControl/>
              <w:jc w:val="center"/>
              <w:rPr>
                <w:rFonts w:ascii="宋体" w:hAnsi="宋体" w:cs="宋体"/>
                <w:kern w:val="0"/>
                <w:sz w:val="24"/>
              </w:rPr>
            </w:pPr>
            <w:r>
              <w:rPr>
                <w:rFonts w:hint="eastAsia" w:ascii="宋体" w:hAnsi="宋体" w:cs="宋体"/>
                <w:sz w:val="24"/>
              </w:rPr>
              <w:t>142.98</w:t>
            </w:r>
          </w:p>
        </w:tc>
        <w:tc>
          <w:tcPr>
            <w:tcW w:w="2268" w:type="dxa"/>
            <w:vAlign w:val="center"/>
          </w:tcPr>
          <w:p>
            <w:pPr>
              <w:widowControl/>
              <w:jc w:val="center"/>
              <w:rPr>
                <w:rFonts w:ascii="宋体" w:hAnsi="宋体" w:cs="宋体"/>
                <w:sz w:val="24"/>
              </w:rPr>
            </w:pPr>
            <w:r>
              <w:rPr>
                <w:rFonts w:hint="eastAsia" w:ascii="宋体" w:hAnsi="宋体" w:cs="宋体"/>
                <w:sz w:val="24"/>
              </w:rPr>
              <w:t>-20</w:t>
            </w:r>
          </w:p>
        </w:tc>
        <w:tc>
          <w:tcPr>
            <w:tcW w:w="2268" w:type="dxa"/>
            <w:vAlign w:val="center"/>
          </w:tcPr>
          <w:p>
            <w:pPr>
              <w:widowControl/>
              <w:jc w:val="center"/>
              <w:rPr>
                <w:rFonts w:ascii="宋体" w:hAnsi="宋体" w:cs="宋体"/>
                <w:sz w:val="24"/>
              </w:rPr>
            </w:pPr>
            <w:r>
              <w:rPr>
                <w:rFonts w:hint="eastAsia" w:ascii="宋体" w:hAnsi="宋体" w:cs="宋体"/>
                <w:sz w:val="24"/>
              </w:rPr>
              <w:t>122.98</w:t>
            </w:r>
          </w:p>
        </w:tc>
        <w:tc>
          <w:tcPr>
            <w:tcW w:w="2268" w:type="dxa"/>
            <w:vAlign w:val="center"/>
          </w:tcPr>
          <w:p>
            <w:pPr>
              <w:widowControl/>
              <w:jc w:val="center"/>
              <w:rPr>
                <w:rFonts w:ascii="宋体" w:hAnsi="宋体" w:cs="宋体"/>
                <w:sz w:val="24"/>
              </w:rPr>
            </w:pPr>
            <w:r>
              <w:rPr>
                <w:rFonts w:hint="eastAsia" w:ascii="宋体" w:hAnsi="宋体" w:cs="宋体"/>
                <w:sz w:val="24"/>
              </w:rPr>
              <w:t>122.95</w:t>
            </w:r>
          </w:p>
        </w:tc>
        <w:tc>
          <w:tcPr>
            <w:tcW w:w="2268" w:type="dxa"/>
            <w:vAlign w:val="center"/>
          </w:tcPr>
          <w:p>
            <w:pPr>
              <w:widowControl/>
              <w:jc w:val="center"/>
              <w:rPr>
                <w:rFonts w:ascii="宋体" w:hAnsi="宋体" w:cs="宋体"/>
                <w:sz w:val="24"/>
              </w:rPr>
            </w:pPr>
            <w:r>
              <w:rPr>
                <w:rFonts w:hint="eastAsia" w:ascii="宋体" w:hAnsi="宋体" w:cs="宋体"/>
                <w:sz w:val="24"/>
              </w:rPr>
              <w:t>99.98%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专项租赁费</w:t>
            </w:r>
          </w:p>
        </w:tc>
        <w:tc>
          <w:tcPr>
            <w:tcW w:w="2268" w:type="dxa"/>
            <w:vAlign w:val="center"/>
          </w:tcPr>
          <w:p>
            <w:pPr>
              <w:widowControl/>
              <w:jc w:val="center"/>
              <w:rPr>
                <w:rFonts w:ascii="宋体" w:hAnsi="宋体" w:cs="宋体"/>
                <w:kern w:val="0"/>
                <w:sz w:val="24"/>
              </w:rPr>
            </w:pPr>
            <w:r>
              <w:rPr>
                <w:rFonts w:hint="eastAsia" w:ascii="宋体" w:hAnsi="宋体" w:cs="宋体"/>
                <w:sz w:val="24"/>
              </w:rPr>
              <w:t>40</w:t>
            </w:r>
          </w:p>
        </w:tc>
        <w:tc>
          <w:tcPr>
            <w:tcW w:w="2268" w:type="dxa"/>
            <w:vAlign w:val="center"/>
          </w:tcPr>
          <w:p>
            <w:pPr>
              <w:widowControl/>
              <w:jc w:val="center"/>
              <w:rPr>
                <w:rFonts w:ascii="宋体" w:hAnsi="宋体" w:cs="宋体"/>
                <w:sz w:val="24"/>
              </w:rPr>
            </w:pPr>
            <w:r>
              <w:rPr>
                <w:rFonts w:hint="eastAsia" w:ascii="宋体" w:hAnsi="宋体" w:cs="宋体"/>
                <w:sz w:val="24"/>
              </w:rPr>
              <w:t>-40</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0</w:t>
            </w:r>
          </w:p>
        </w:tc>
        <w:tc>
          <w:tcPr>
            <w:tcW w:w="2268" w:type="dxa"/>
            <w:vAlign w:val="center"/>
          </w:tcPr>
          <w:p>
            <w:pPr>
              <w:widowControl/>
              <w:jc w:val="center"/>
              <w:rPr>
                <w:rFonts w:ascii="宋体" w:hAnsi="宋体" w:cs="宋体"/>
                <w:sz w:val="24"/>
              </w:rPr>
            </w:pPr>
            <w:r>
              <w:rPr>
                <w:rFonts w:hint="eastAsia" w:ascii="宋体" w:hAnsi="宋体" w:cs="宋体"/>
                <w:sz w:val="24"/>
              </w:rPr>
              <w:t>NaN%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物业管理费</w:t>
            </w:r>
          </w:p>
        </w:tc>
        <w:tc>
          <w:tcPr>
            <w:tcW w:w="2268" w:type="dxa"/>
            <w:vAlign w:val="center"/>
          </w:tcPr>
          <w:p>
            <w:pPr>
              <w:widowControl/>
              <w:jc w:val="center"/>
              <w:rPr>
                <w:rFonts w:ascii="宋体" w:hAnsi="宋体" w:cs="宋体"/>
                <w:kern w:val="0"/>
                <w:sz w:val="24"/>
              </w:rPr>
            </w:pPr>
            <w:r>
              <w:rPr>
                <w:rFonts w:hint="eastAsia" w:ascii="宋体" w:hAnsi="宋体" w:cs="宋体"/>
                <w:sz w:val="24"/>
              </w:rPr>
              <w:t>30.61</w:t>
            </w:r>
          </w:p>
        </w:tc>
        <w:tc>
          <w:tcPr>
            <w:tcW w:w="2268" w:type="dxa"/>
            <w:vAlign w:val="center"/>
          </w:tcPr>
          <w:p>
            <w:pPr>
              <w:widowControl/>
              <w:jc w:val="center"/>
              <w:rPr>
                <w:rFonts w:ascii="宋体" w:hAnsi="宋体" w:cs="宋体"/>
                <w:sz w:val="24"/>
              </w:rPr>
            </w:pPr>
            <w:r>
              <w:rPr>
                <w:rFonts w:hint="eastAsia" w:ascii="宋体" w:hAnsi="宋体" w:cs="宋体"/>
                <w:sz w:val="24"/>
              </w:rPr>
              <w:t>-29.1</w:t>
            </w:r>
          </w:p>
        </w:tc>
        <w:tc>
          <w:tcPr>
            <w:tcW w:w="2268" w:type="dxa"/>
            <w:vAlign w:val="center"/>
          </w:tcPr>
          <w:p>
            <w:pPr>
              <w:widowControl/>
              <w:jc w:val="center"/>
              <w:rPr>
                <w:rFonts w:ascii="宋体" w:hAnsi="宋体" w:cs="宋体"/>
                <w:sz w:val="24"/>
              </w:rPr>
            </w:pPr>
            <w:r>
              <w:rPr>
                <w:rFonts w:hint="eastAsia" w:ascii="宋体" w:hAnsi="宋体" w:cs="宋体"/>
                <w:sz w:val="24"/>
              </w:rPr>
              <w:t>1.51</w:t>
            </w:r>
          </w:p>
        </w:tc>
        <w:tc>
          <w:tcPr>
            <w:tcW w:w="2268" w:type="dxa"/>
            <w:vAlign w:val="center"/>
          </w:tcPr>
          <w:p>
            <w:pPr>
              <w:widowControl/>
              <w:jc w:val="center"/>
              <w:rPr>
                <w:rFonts w:ascii="宋体" w:hAnsi="宋体" w:cs="宋体"/>
                <w:sz w:val="24"/>
              </w:rPr>
            </w:pPr>
            <w:r>
              <w:rPr>
                <w:rFonts w:hint="eastAsia" w:ascii="宋体" w:hAnsi="宋体" w:cs="宋体"/>
                <w:sz w:val="24"/>
              </w:rPr>
              <w:t>1.51</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红十字公益服务费</w:t>
            </w:r>
          </w:p>
        </w:tc>
        <w:tc>
          <w:tcPr>
            <w:tcW w:w="2268" w:type="dxa"/>
            <w:vAlign w:val="center"/>
          </w:tcPr>
          <w:p>
            <w:pPr>
              <w:widowControl/>
              <w:jc w:val="center"/>
              <w:rPr>
                <w:rFonts w:ascii="宋体" w:hAnsi="宋体" w:cs="宋体"/>
                <w:kern w:val="0"/>
                <w:sz w:val="24"/>
              </w:rPr>
            </w:pPr>
            <w:r>
              <w:rPr>
                <w:rFonts w:hint="eastAsia" w:ascii="宋体" w:hAnsi="宋体" w:cs="宋体"/>
                <w:sz w:val="24"/>
              </w:rPr>
              <w:t>107.75</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107.75</w:t>
            </w:r>
          </w:p>
        </w:tc>
        <w:tc>
          <w:tcPr>
            <w:tcW w:w="2268" w:type="dxa"/>
            <w:vAlign w:val="center"/>
          </w:tcPr>
          <w:p>
            <w:pPr>
              <w:widowControl/>
              <w:jc w:val="center"/>
              <w:rPr>
                <w:rFonts w:ascii="宋体" w:hAnsi="宋体" w:cs="宋体"/>
                <w:sz w:val="24"/>
              </w:rPr>
            </w:pPr>
            <w:r>
              <w:rPr>
                <w:rFonts w:hint="eastAsia" w:ascii="宋体" w:hAnsi="宋体" w:cs="宋体"/>
                <w:sz w:val="24"/>
              </w:rPr>
              <w:t>107.75</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办公设备购置</w:t>
            </w:r>
          </w:p>
        </w:tc>
        <w:tc>
          <w:tcPr>
            <w:tcW w:w="2268" w:type="dxa"/>
            <w:vAlign w:val="center"/>
          </w:tcPr>
          <w:p>
            <w:pPr>
              <w:widowControl/>
              <w:jc w:val="center"/>
              <w:rPr>
                <w:rFonts w:ascii="宋体" w:hAnsi="宋体" w:cs="宋体"/>
                <w:kern w:val="0"/>
                <w:sz w:val="24"/>
              </w:rPr>
            </w:pPr>
            <w:r>
              <w:rPr>
                <w:rFonts w:hint="eastAsia" w:ascii="宋体" w:hAnsi="宋体" w:cs="宋体"/>
                <w:sz w:val="24"/>
              </w:rPr>
              <w:t>4</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4</w:t>
            </w:r>
          </w:p>
        </w:tc>
        <w:tc>
          <w:tcPr>
            <w:tcW w:w="2268" w:type="dxa"/>
            <w:vAlign w:val="center"/>
          </w:tcPr>
          <w:p>
            <w:pPr>
              <w:widowControl/>
              <w:jc w:val="center"/>
              <w:rPr>
                <w:rFonts w:ascii="宋体" w:hAnsi="宋体" w:cs="宋体"/>
                <w:sz w:val="24"/>
              </w:rPr>
            </w:pPr>
            <w:r>
              <w:rPr>
                <w:rFonts w:hint="eastAsia" w:ascii="宋体" w:hAnsi="宋体" w:cs="宋体"/>
                <w:sz w:val="24"/>
              </w:rPr>
              <w:t>3.88</w:t>
            </w:r>
          </w:p>
        </w:tc>
        <w:tc>
          <w:tcPr>
            <w:tcW w:w="2268" w:type="dxa"/>
            <w:vAlign w:val="center"/>
          </w:tcPr>
          <w:p>
            <w:pPr>
              <w:widowControl/>
              <w:jc w:val="center"/>
              <w:rPr>
                <w:rFonts w:ascii="宋体" w:hAnsi="宋体" w:cs="宋体"/>
                <w:sz w:val="24"/>
              </w:rPr>
            </w:pPr>
            <w:r>
              <w:rPr>
                <w:rFonts w:hint="eastAsia" w:ascii="宋体" w:hAnsi="宋体" w:cs="宋体"/>
                <w:sz w:val="24"/>
              </w:rPr>
              <w:t>97.00%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专项档案整理保管费</w:t>
            </w:r>
          </w:p>
        </w:tc>
        <w:tc>
          <w:tcPr>
            <w:tcW w:w="2268" w:type="dxa"/>
            <w:vAlign w:val="center"/>
          </w:tcPr>
          <w:p>
            <w:pPr>
              <w:widowControl/>
              <w:jc w:val="center"/>
              <w:rPr>
                <w:rFonts w:ascii="宋体" w:hAnsi="宋体" w:cs="宋体"/>
                <w:kern w:val="0"/>
                <w:sz w:val="24"/>
              </w:rPr>
            </w:pPr>
            <w:r>
              <w:rPr>
                <w:rFonts w:hint="eastAsia" w:ascii="宋体" w:hAnsi="宋体" w:cs="宋体"/>
                <w:sz w:val="24"/>
              </w:rPr>
              <w:t>2.5</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2.5</w:t>
            </w:r>
          </w:p>
        </w:tc>
        <w:tc>
          <w:tcPr>
            <w:tcW w:w="2268" w:type="dxa"/>
            <w:vAlign w:val="center"/>
          </w:tcPr>
          <w:p>
            <w:pPr>
              <w:widowControl/>
              <w:jc w:val="center"/>
              <w:rPr>
                <w:rFonts w:ascii="宋体" w:hAnsi="宋体" w:cs="宋体"/>
                <w:sz w:val="24"/>
              </w:rPr>
            </w:pPr>
            <w:r>
              <w:rPr>
                <w:rFonts w:hint="eastAsia" w:ascii="宋体" w:hAnsi="宋体" w:cs="宋体"/>
                <w:sz w:val="24"/>
              </w:rPr>
              <w:t>2.5</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专设机构工作经费</w:t>
            </w:r>
          </w:p>
        </w:tc>
        <w:tc>
          <w:tcPr>
            <w:tcW w:w="2268" w:type="dxa"/>
            <w:vAlign w:val="center"/>
          </w:tcPr>
          <w:p>
            <w:pPr>
              <w:widowControl/>
              <w:jc w:val="center"/>
              <w:rPr>
                <w:rFonts w:ascii="宋体" w:hAnsi="宋体" w:cs="宋体"/>
                <w:kern w:val="0"/>
                <w:sz w:val="24"/>
              </w:rPr>
            </w:pPr>
            <w:r>
              <w:rPr>
                <w:rFonts w:hint="eastAsia" w:ascii="宋体" w:hAnsi="宋体" w:cs="宋体"/>
                <w:sz w:val="24"/>
              </w:rPr>
              <w:t>2</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2</w:t>
            </w:r>
          </w:p>
        </w:tc>
        <w:tc>
          <w:tcPr>
            <w:tcW w:w="2268" w:type="dxa"/>
            <w:vAlign w:val="center"/>
          </w:tcPr>
          <w:p>
            <w:pPr>
              <w:widowControl/>
              <w:jc w:val="center"/>
              <w:rPr>
                <w:rFonts w:ascii="宋体" w:hAnsi="宋体" w:cs="宋体"/>
                <w:sz w:val="24"/>
              </w:rPr>
            </w:pPr>
            <w:r>
              <w:rPr>
                <w:rFonts w:hint="eastAsia" w:ascii="宋体" w:hAnsi="宋体" w:cs="宋体"/>
                <w:sz w:val="24"/>
              </w:rPr>
              <w:t>2</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信息化维护费</w:t>
            </w:r>
          </w:p>
        </w:tc>
        <w:tc>
          <w:tcPr>
            <w:tcW w:w="2268" w:type="dxa"/>
            <w:vAlign w:val="center"/>
          </w:tcPr>
          <w:p>
            <w:pPr>
              <w:widowControl/>
              <w:jc w:val="center"/>
              <w:rPr>
                <w:rFonts w:ascii="宋体" w:hAnsi="宋体" w:cs="宋体"/>
                <w:kern w:val="0"/>
                <w:sz w:val="24"/>
              </w:rPr>
            </w:pPr>
            <w:r>
              <w:rPr>
                <w:rFonts w:hint="eastAsia" w:ascii="宋体" w:hAnsi="宋体" w:cs="宋体"/>
                <w:sz w:val="24"/>
              </w:rPr>
              <w:t>8.18</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8.18</w:t>
            </w:r>
          </w:p>
        </w:tc>
        <w:tc>
          <w:tcPr>
            <w:tcW w:w="2268" w:type="dxa"/>
            <w:vAlign w:val="center"/>
          </w:tcPr>
          <w:p>
            <w:pPr>
              <w:widowControl/>
              <w:jc w:val="center"/>
              <w:rPr>
                <w:rFonts w:ascii="宋体" w:hAnsi="宋体" w:cs="宋体"/>
                <w:sz w:val="24"/>
              </w:rPr>
            </w:pPr>
            <w:r>
              <w:rPr>
                <w:rFonts w:hint="eastAsia" w:ascii="宋体" w:hAnsi="宋体" w:cs="宋体"/>
                <w:sz w:val="24"/>
              </w:rPr>
              <w:t>7.51</w:t>
            </w:r>
          </w:p>
        </w:tc>
        <w:tc>
          <w:tcPr>
            <w:tcW w:w="2268" w:type="dxa"/>
            <w:vAlign w:val="center"/>
          </w:tcPr>
          <w:p>
            <w:pPr>
              <w:widowControl/>
              <w:jc w:val="center"/>
              <w:rPr>
                <w:rFonts w:ascii="宋体" w:hAnsi="宋体" w:cs="宋体"/>
                <w:sz w:val="24"/>
              </w:rPr>
            </w:pPr>
            <w:r>
              <w:rPr>
                <w:rFonts w:hint="eastAsia" w:ascii="宋体" w:hAnsi="宋体" w:cs="宋体"/>
                <w:sz w:val="24"/>
              </w:rPr>
              <w:t>91.81%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专项调研调查费</w:t>
            </w:r>
          </w:p>
        </w:tc>
        <w:tc>
          <w:tcPr>
            <w:tcW w:w="2268" w:type="dxa"/>
            <w:vAlign w:val="center"/>
          </w:tcPr>
          <w:p>
            <w:pPr>
              <w:widowControl/>
              <w:jc w:val="center"/>
              <w:rPr>
                <w:rFonts w:ascii="宋体" w:hAnsi="宋体" w:cs="宋体"/>
                <w:kern w:val="0"/>
                <w:sz w:val="24"/>
              </w:rPr>
            </w:pPr>
            <w:r>
              <w:rPr>
                <w:rFonts w:hint="eastAsia" w:ascii="宋体" w:hAnsi="宋体" w:cs="宋体"/>
                <w:sz w:val="24"/>
              </w:rPr>
              <w:t>4.75</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4.75</w:t>
            </w:r>
          </w:p>
        </w:tc>
        <w:tc>
          <w:tcPr>
            <w:tcW w:w="2268" w:type="dxa"/>
            <w:vAlign w:val="center"/>
          </w:tcPr>
          <w:p>
            <w:pPr>
              <w:widowControl/>
              <w:jc w:val="center"/>
              <w:rPr>
                <w:rFonts w:ascii="宋体" w:hAnsi="宋体" w:cs="宋体"/>
                <w:sz w:val="24"/>
              </w:rPr>
            </w:pPr>
            <w:r>
              <w:rPr>
                <w:rFonts w:hint="eastAsia" w:ascii="宋体" w:hAnsi="宋体" w:cs="宋体"/>
                <w:sz w:val="24"/>
              </w:rPr>
              <w:t>4.75</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bl>
    <w:p w14:paraId="131ACE80">
      <w:pPr>
        <w:spacing w:line="360" w:lineRule="auto"/>
        <w:ind w:left="600"/>
        <w:rPr>
          <w:rFonts w:ascii="黑体" w:hAnsi="黑体" w:eastAsia="黑体"/>
          <w:sz w:val="30"/>
        </w:rPr>
      </w:pPr>
    </w:p>
    <w:p w14:paraId="74045F82">
      <w:pPr>
        <w:numPr>
          <w:ilvl w:val="0"/>
          <w:numId w:val="1"/>
        </w:numPr>
        <w:spacing w:line="360" w:lineRule="auto"/>
        <w:ind w:left="600"/>
        <w:rPr>
          <w:rFonts w:ascii="黑体" w:hAnsi="黑体" w:eastAsia="黑体"/>
          <w:sz w:val="30"/>
        </w:rPr>
      </w:pPr>
      <w:r>
        <w:rPr>
          <w:rFonts w:hint="eastAsia" w:ascii="黑体" w:hAnsi="黑体" w:eastAsia="黑体"/>
          <w:sz w:val="30"/>
        </w:rPr>
        <w:t>年度重点任务</w:t>
      </w:r>
    </w:p>
    <w:p w14:paraId="0D3A1920">
      <w:pPr>
        <w:spacing w:line="360" w:lineRule="auto"/>
        <w:ind w:left="600"/>
        <w:rPr>
          <w:rFonts w:ascii="黑体" w:hAnsi="黑体" w:eastAsia="黑体"/>
          <w:sz w:val="30"/>
        </w:rPr>
      </w:pPr>
    </w:p>
    <w:tbl>
      <w:tblPr>
        <w:tblStyle w:val="5"/>
        <w:tblW w:w="13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9"/>
        <w:gridCol w:w="3818"/>
        <w:gridCol w:w="6280"/>
      </w:tblGrid>
      <w:tr w14:paraId="4FD8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419" w:type="dxa"/>
            <w:shd w:val="clear" w:color="000000" w:fill="BFBFBF"/>
            <w:vAlign w:val="center"/>
          </w:tcPr>
          <w:p w14:paraId="1644DE46">
            <w:pPr>
              <w:widowControl/>
              <w:jc w:val="center"/>
              <w:rPr>
                <w:rFonts w:ascii="宋体" w:hAnsi="宋体" w:cs="宋体"/>
                <w:b/>
                <w:bCs/>
                <w:kern w:val="0"/>
                <w:sz w:val="24"/>
              </w:rPr>
            </w:pPr>
          </w:p>
          <w:p w14:paraId="5858CDEA">
            <w:pPr>
              <w:widowControl/>
              <w:jc w:val="center"/>
              <w:rPr>
                <w:rFonts w:ascii="宋体" w:hAnsi="宋体" w:cs="宋体"/>
                <w:b/>
                <w:bCs/>
                <w:kern w:val="0"/>
                <w:sz w:val="24"/>
              </w:rPr>
            </w:pPr>
            <w:r>
              <w:rPr>
                <w:rFonts w:hint="eastAsia" w:ascii="宋体" w:hAnsi="宋体" w:cs="宋体"/>
                <w:b/>
                <w:bCs/>
                <w:kern w:val="0"/>
                <w:sz w:val="24"/>
              </w:rPr>
              <w:t>对应部门主要职责</w:t>
            </w:r>
          </w:p>
          <w:p w14:paraId="3F9E1C75">
            <w:pPr>
              <w:widowControl/>
              <w:jc w:val="center"/>
              <w:rPr>
                <w:rFonts w:ascii="宋体" w:hAnsi="宋体" w:cs="宋体"/>
                <w:b/>
                <w:bCs/>
                <w:kern w:val="0"/>
                <w:sz w:val="24"/>
              </w:rPr>
            </w:pPr>
            <w:r>
              <w:rPr>
                <w:rFonts w:hint="eastAsia" w:ascii="宋体" w:hAnsi="宋体" w:cs="宋体"/>
                <w:b/>
                <w:bCs/>
                <w:kern w:val="0"/>
                <w:sz w:val="24"/>
              </w:rPr>
              <w:t/>
            </w:r>
          </w:p>
        </w:tc>
        <w:tc>
          <w:tcPr>
            <w:tcW w:w="3818" w:type="dxa"/>
            <w:shd w:val="clear" w:color="000000" w:fill="BFBFBF"/>
            <w:vAlign w:val="center"/>
          </w:tcPr>
          <w:p w14:paraId="561C96F1">
            <w:pPr>
              <w:widowControl/>
              <w:jc w:val="center"/>
              <w:rPr>
                <w:rFonts w:ascii="宋体" w:hAnsi="宋体" w:cs="宋体"/>
                <w:b/>
                <w:bCs/>
                <w:kern w:val="0"/>
                <w:sz w:val="24"/>
              </w:rPr>
            </w:pPr>
            <w:r>
              <w:rPr>
                <w:rFonts w:hint="eastAsia" w:ascii="宋体" w:hAnsi="宋体" w:cs="宋体"/>
                <w:b/>
                <w:bCs/>
                <w:kern w:val="0"/>
                <w:sz w:val="24"/>
              </w:rPr>
              <w:t>任务名称</w:t>
            </w:r>
          </w:p>
        </w:tc>
        <w:tc>
          <w:tcPr>
            <w:tcW w:w="6280" w:type="dxa"/>
            <w:shd w:val="clear" w:color="000000" w:fill="BFBFBF"/>
            <w:vAlign w:val="center"/>
          </w:tcPr>
          <w:p w14:paraId="77A795C7">
            <w:pPr>
              <w:widowControl/>
              <w:jc w:val="center"/>
              <w:rPr>
                <w:rFonts w:ascii="宋体" w:hAnsi="宋体" w:cs="宋体"/>
                <w:b/>
                <w:bCs/>
                <w:kern w:val="0"/>
                <w:sz w:val="24"/>
              </w:rPr>
            </w:pPr>
            <w:r>
              <w:rPr>
                <w:rFonts w:hint="eastAsia" w:ascii="宋体" w:hAnsi="宋体" w:cs="宋体"/>
                <w:b/>
                <w:bCs/>
                <w:kern w:val="0"/>
                <w:sz w:val="24"/>
              </w:rPr>
              <w:t>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hint="eastAsia" w:ascii="宋体" w:hAnsi="宋体" w:cs="宋体"/>
                <w:sz w:val="24"/>
              </w:rPr>
              <w:t>参与宣传和推动无偿献血与造血干细胞捐献者工作，大力宣传和推动造血干细胞、遗体和器官捐献工作。</w:t>
            </w:r>
          </w:p>
        </w:tc>
        <w:tc>
          <w:tcPr>
            <w:tcW w:w="3818" w:type="dxa"/>
            <w:vAlign w:val="center"/>
          </w:tcPr>
          <w:p>
            <w:pPr>
              <w:widowControl/>
              <w:jc w:val="center"/>
              <w:rPr>
                <w:rFonts w:ascii="宋体" w:hAnsi="宋体" w:cs="宋体"/>
                <w:sz w:val="24"/>
              </w:rPr>
            </w:pPr>
            <w:r>
              <w:rPr>
                <w:rFonts w:hint="eastAsia" w:ascii="宋体" w:hAnsi="宋体" w:cs="宋体"/>
                <w:sz w:val="24"/>
              </w:rPr>
              <w:t>开展无偿献血宣传项目</w:t>
            </w:r>
          </w:p>
        </w:tc>
        <w:tc>
          <w:tcPr>
            <w:tcW w:w="6280" w:type="dxa"/>
            <w:vAlign w:val="center"/>
          </w:tcPr>
          <w:p>
            <w:pPr>
              <w:widowControl/>
              <w:jc w:val="center"/>
              <w:rPr>
                <w:rFonts w:ascii="宋体" w:hAnsi="宋体" w:cs="宋体"/>
                <w:sz w:val="24"/>
              </w:rPr>
            </w:pPr>
            <w:r>
              <w:rPr>
                <w:rFonts w:hint="eastAsia" w:ascii="宋体" w:hAnsi="宋体" w:cs="宋体"/>
                <w:sz w:val="24"/>
              </w:rPr>
              <w:t>广泛宣传造血干细胞知识，聚焦志愿者感人事迹，弘扬无私奉献精神，全年共完成造血干细胞捐献志愿者报名采样2065人，实现造血干细胞成功捐献34例。召开专题座谈会，新增苏大附二院为体检、采集定点医疗机构，不断改善捐献者体检、动员采集环境。认真开展“志愿者保留”项目，先后电话回访3.2万人，回访率达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组织开展骨髓捐献者日志愿者活动</w:t>
            </w:r>
          </w:p>
        </w:tc>
        <w:tc>
          <w:tcPr>
            <w:tcW w:w="6280" w:type="dxa"/>
            <w:vAlign w:val="center"/>
          </w:tcPr>
          <w:p>
            <w:pPr>
              <w:widowControl/>
              <w:jc w:val="center"/>
              <w:rPr>
                <w:rFonts w:ascii="宋体" w:hAnsi="宋体" w:cs="宋体"/>
                <w:sz w:val="24"/>
              </w:rPr>
            </w:pPr>
            <w:r>
              <w:rPr>
                <w:rFonts w:hint="eastAsia" w:ascii="宋体" w:hAnsi="宋体" w:cs="宋体"/>
                <w:sz w:val="24"/>
              </w:rPr>
              <w:t>认真开展“志愿者保留”项目，先后电话回访造血干细胞捐献志愿者3.2万人，回访率达100%。成功举办“致敬希望英雄”——江苏省“世界骨髓捐献者日”暨苏州市造血干细胞捐献突破300例宣传活动，引发社会广泛关注。全年完成造血干细胞报名采样2065人，实现造血干细胞成功捐献34例。认真组织“生命·希望”缅怀致敬遗体（器官、角膜）捐献者活动，研究出台《苏州市捐献者（家庭）关爱救助办法》。积极与市数据局沟通，开发苏州市遗体（角膜）捐献信息化平台。年内，新增线上报名登记捐献志愿者1740人，新增遗体捐献185例、器官捐献30例、角膜捐献100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发展志愿者队伍，组织会员和志愿者开展人道领域内的社区服务、社会救助和社会公益活动；组织开展群众性初级救护训练，组织群众参加意外伤害和自然灾害的现场保护。</w:t>
            </w:r>
          </w:p>
        </w:tc>
        <w:tc>
          <w:tcPr>
            <w:tcW w:w="3818" w:type="dxa"/>
            <w:vAlign w:val="center"/>
          </w:tcPr>
          <w:p>
            <w:pPr>
              <w:widowControl/>
              <w:jc w:val="center"/>
              <w:rPr>
                <w:rFonts w:ascii="宋体" w:hAnsi="宋体" w:cs="宋体"/>
                <w:sz w:val="24"/>
              </w:rPr>
            </w:pPr>
            <w:r>
              <w:rPr>
                <w:rFonts w:hint="eastAsia" w:ascii="宋体" w:hAnsi="宋体" w:cs="宋体"/>
                <w:sz w:val="24"/>
              </w:rPr>
              <w:t>开展应急救护培训</w:t>
            </w:r>
          </w:p>
        </w:tc>
        <w:tc>
          <w:tcPr>
            <w:tcW w:w="6280" w:type="dxa"/>
            <w:vAlign w:val="center"/>
          </w:tcPr>
          <w:p>
            <w:pPr>
              <w:widowControl/>
              <w:jc w:val="center"/>
              <w:rPr>
                <w:rFonts w:ascii="宋体" w:hAnsi="宋体" w:cs="宋体"/>
                <w:sz w:val="24"/>
              </w:rPr>
            </w:pPr>
            <w:r>
              <w:rPr>
                <w:rFonts w:hint="eastAsia" w:ascii="宋体" w:hAnsi="宋体" w:cs="宋体"/>
                <w:sz w:val="24"/>
              </w:rPr>
              <w:t>以“生命急救网升级工程”民生实事项目为牵引，努力推进救护培训工作。全年开展救护技能培训16.5万人，其中持证培训3.5万余人。新增师资350余人，其中自筹资金培训270名。为全市所有5A级景区救护站提档升级。全市公共场所AED达4000余台，并在苏周到APP、企鹅急救等平台同步更新发布。今年以来，在地铁、商超、校园等不同场景下，出现多起普通市民急救成功案例。指导兄弟部门代表苏州勇夺全省教育系统、消防系统等多个急救技能大赛冠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开展备灾救灾工作，争取境内外的援助，在自然灾害和突发事件中，对伤病人员和其他受害者进行救助；积极参加灾后重建及救济工作；参加国际人道主义救援工作。</w:t>
            </w:r>
          </w:p>
        </w:tc>
        <w:tc>
          <w:tcPr>
            <w:tcW w:w="3818" w:type="dxa"/>
            <w:vAlign w:val="center"/>
          </w:tcPr>
          <w:p>
            <w:pPr>
              <w:widowControl/>
              <w:jc w:val="center"/>
              <w:rPr>
                <w:rFonts w:ascii="宋体" w:hAnsi="宋体" w:cs="宋体"/>
                <w:sz w:val="24"/>
              </w:rPr>
            </w:pPr>
            <w:r>
              <w:rPr>
                <w:rFonts w:hint="eastAsia" w:ascii="宋体" w:hAnsi="宋体" w:cs="宋体"/>
                <w:sz w:val="24"/>
              </w:rPr>
              <w:t>开展红十字应急救援队训练</w:t>
            </w:r>
          </w:p>
        </w:tc>
        <w:tc>
          <w:tcPr>
            <w:tcW w:w="6280" w:type="dxa"/>
            <w:vAlign w:val="center"/>
          </w:tcPr>
          <w:p>
            <w:pPr>
              <w:widowControl/>
              <w:jc w:val="center"/>
              <w:rPr>
                <w:rFonts w:ascii="宋体" w:hAnsi="宋体" w:cs="宋体"/>
                <w:sz w:val="24"/>
              </w:rPr>
            </w:pPr>
            <w:r>
              <w:rPr>
                <w:rFonts w:hint="eastAsia" w:ascii="宋体" w:hAnsi="宋体" w:cs="宋体"/>
                <w:sz w:val="24"/>
              </w:rPr>
              <w:t>坚持平战结合，加强队伍正规化、专业化建设。积极组织队员参加上级培训，先后派出6名救援队员参加省红会东台、泰州培训。组织队员常态化开展志愿服务和救援保障工作。清明期间，参与捐献纪念园集体悼念期间值班值勤，服务群众近200小时2000余人次；全程参与金鸡湖龙舟赛赛事保障任务，维护观赛秩序，对受伤队员、观众及时提供现场救护50余人次；组织5名队员参加红气球淮安站挑战赛；参与市减灾委组织的狮山公园市集宣传等活动，累计出动100多人次。组织全队开展综合演练，对赈济救援和大众卫生科目进行考核验收，为突发情况处置做好应急准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开展弘扬爱国主义、集体主义和人道主义精神的有益于青少年身心健康的红十字青少年活动。</w:t>
            </w:r>
          </w:p>
        </w:tc>
        <w:tc>
          <w:tcPr>
            <w:tcW w:w="3818" w:type="dxa"/>
            <w:vAlign w:val="center"/>
          </w:tcPr>
          <w:p>
            <w:pPr>
              <w:widowControl/>
              <w:jc w:val="center"/>
              <w:rPr>
                <w:rFonts w:ascii="宋体" w:hAnsi="宋体" w:cs="宋体"/>
                <w:sz w:val="24"/>
              </w:rPr>
            </w:pPr>
            <w:r>
              <w:rPr>
                <w:rFonts w:hint="eastAsia" w:ascii="宋体" w:hAnsi="宋体" w:cs="宋体"/>
                <w:sz w:val="24"/>
              </w:rPr>
              <w:t>组织开展博爱青春项目</w:t>
            </w:r>
          </w:p>
        </w:tc>
        <w:tc>
          <w:tcPr>
            <w:tcW w:w="6280" w:type="dxa"/>
            <w:vAlign w:val="center"/>
          </w:tcPr>
          <w:p>
            <w:pPr>
              <w:widowControl/>
              <w:jc w:val="center"/>
              <w:rPr>
                <w:rFonts w:ascii="宋体" w:hAnsi="宋体" w:cs="宋体"/>
                <w:sz w:val="24"/>
              </w:rPr>
            </w:pPr>
            <w:r>
              <w:rPr>
                <w:rFonts w:hint="eastAsia" w:ascii="宋体" w:hAnsi="宋体" w:cs="宋体"/>
                <w:sz w:val="24"/>
              </w:rPr>
              <w:t>组织实施35个省、市两级“博爱青春”暑期志愿服务项目，以及9个“红十字青少年志愿服务项目发展计划”项目，规模创历史之最。先后组织1000多名大学生志愿者，深入苏州及周边城市的乡村、社区、学校，开展了各具特色的红十字志愿服务活动，服务总时长超4000小时，受益6万余人。广泛层开展“红十字博爱送健康”活动，开展各类义诊科普宣传活动300余场，累计志愿服务1万余小时，3万余人受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宣传贯彻《中华人民共和国红十字会法》和《中华人民共和国红十字标志使用办法》，依照《中国红十字会章程》和有关方针、政策，制定全市红十字事业发展规划，指导和推动全市各级红十字会工作。</w:t>
            </w:r>
          </w:p>
        </w:tc>
        <w:tc>
          <w:tcPr>
            <w:tcW w:w="3818" w:type="dxa"/>
            <w:vAlign w:val="center"/>
          </w:tcPr>
          <w:p>
            <w:pPr>
              <w:widowControl/>
              <w:jc w:val="center"/>
              <w:rPr>
                <w:rFonts w:ascii="宋体" w:hAnsi="宋体" w:cs="宋体"/>
                <w:sz w:val="24"/>
              </w:rPr>
            </w:pPr>
            <w:r>
              <w:rPr>
                <w:rFonts w:hint="eastAsia" w:ascii="宋体" w:hAnsi="宋体" w:cs="宋体"/>
                <w:sz w:val="24"/>
              </w:rPr>
              <w:t>世界红十字日宣传活动、红十字急救日宣传</w:t>
            </w:r>
          </w:p>
        </w:tc>
        <w:tc>
          <w:tcPr>
            <w:tcW w:w="6280" w:type="dxa"/>
            <w:vAlign w:val="center"/>
          </w:tcPr>
          <w:p>
            <w:pPr>
              <w:widowControl/>
              <w:jc w:val="center"/>
              <w:rPr>
                <w:rFonts w:ascii="宋体" w:hAnsi="宋体" w:cs="宋体"/>
                <w:sz w:val="24"/>
              </w:rPr>
            </w:pPr>
            <w:r>
              <w:rPr>
                <w:rFonts w:hint="eastAsia" w:ascii="宋体" w:hAnsi="宋体" w:cs="宋体"/>
                <w:sz w:val="24"/>
              </w:rPr>
              <w:t>组织市、区两级红十字会工作人员，邀请专家讲授“红十字文化传播”新年第一课。专题举办全市红十字会系统宣传工作培训班，创新运用突发事件桌面推演的形式，强化宣传队伍网络时代的风险意识和应对能力。抓好官网官微主阵地管理，做到信息发布专人负责、按级审批。全年在市级以上外媒报道千余次，发布官微文章124篇，阅读量近7万，粉丝数超12万人。</w:t>
            </w:r>
          </w:p>
        </w:tc>
      </w:tr>
    </w:tbl>
    <w:p w14:paraId="24A38881">
      <w:pPr>
        <w:spacing w:line="360" w:lineRule="auto"/>
        <w:ind w:left="600"/>
        <w:rPr>
          <w:rFonts w:ascii="黑体" w:hAnsi="黑体" w:eastAsia="黑体"/>
          <w:sz w:val="30"/>
        </w:rPr>
      </w:pPr>
    </w:p>
    <w:p w14:paraId="2EB75D17">
      <w:pPr>
        <w:spacing w:line="360" w:lineRule="auto"/>
        <w:ind w:left="600"/>
        <w:rPr>
          <w:rFonts w:ascii="黑体" w:hAnsi="黑体" w:eastAsia="黑体"/>
          <w:sz w:val="30"/>
        </w:rPr>
      </w:pPr>
    </w:p>
    <w:p w14:paraId="0A35E1A9">
      <w:pPr>
        <w:numPr>
          <w:ilvl w:val="0"/>
          <w:numId w:val="1"/>
        </w:numPr>
        <w:spacing w:line="360" w:lineRule="auto"/>
        <w:ind w:left="600"/>
        <w:rPr>
          <w:rFonts w:ascii="黑体" w:hAnsi="黑体" w:eastAsia="黑体"/>
          <w:sz w:val="30"/>
        </w:rPr>
      </w:pPr>
      <w:r>
        <w:rPr>
          <w:rFonts w:hint="eastAsia" w:ascii="黑体" w:hAnsi="黑体" w:eastAsia="黑体"/>
          <w:sz w:val="30"/>
        </w:rPr>
        <w:t>部门整体自评表</w:t>
      </w:r>
    </w:p>
    <w:tbl>
      <w:tblPr>
        <w:tblStyle w:val="5"/>
        <w:tblpPr w:leftFromText="180" w:rightFromText="180" w:vertAnchor="text" w:horzAnchor="page" w:tblpX="1656" w:tblpY="127"/>
        <w:tblOverlap w:val="never"/>
        <w:tblW w:w="14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2051"/>
        <w:gridCol w:w="2061"/>
        <w:gridCol w:w="1987"/>
        <w:gridCol w:w="1799"/>
        <w:gridCol w:w="1866"/>
        <w:gridCol w:w="1787"/>
        <w:gridCol w:w="1071"/>
      </w:tblGrid>
      <w:tr w14:paraId="0B32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2067" w:type="dxa"/>
            <w:shd w:val="clear" w:color="000000" w:fill="BFBFBF"/>
            <w:vAlign w:val="center"/>
          </w:tcPr>
          <w:p w14:paraId="53BD466F">
            <w:pPr>
              <w:widowControl/>
              <w:jc w:val="center"/>
              <w:rPr>
                <w:rFonts w:ascii="宋体" w:hAnsi="宋体" w:cs="宋体"/>
                <w:b/>
                <w:bCs/>
                <w:kern w:val="0"/>
                <w:sz w:val="24"/>
              </w:rPr>
            </w:pPr>
            <w:r>
              <w:rPr>
                <w:rFonts w:hint="eastAsia" w:ascii="宋体" w:hAnsi="宋体" w:cs="宋体"/>
                <w:b/>
                <w:bCs/>
                <w:kern w:val="0"/>
                <w:sz w:val="24"/>
              </w:rPr>
              <w:t/>
            </w:r>
          </w:p>
        </w:tc>
        <w:tc>
          <w:tcPr>
            <w:tcW w:w="2051" w:type="dxa"/>
            <w:shd w:val="clear" w:color="000000" w:fill="BFBFBF"/>
            <w:vAlign w:val="center"/>
          </w:tcPr>
          <w:p w14:paraId="1CC58553">
            <w:pPr>
              <w:widowControl/>
              <w:jc w:val="center"/>
              <w:rPr>
                <w:rFonts w:ascii="宋体" w:hAnsi="宋体" w:cs="宋体"/>
                <w:b/>
                <w:bCs/>
                <w:kern w:val="0"/>
                <w:sz w:val="24"/>
              </w:rPr>
            </w:pPr>
            <w:r>
              <w:rPr>
                <w:rFonts w:hint="eastAsia" w:ascii="宋体" w:hAnsi="宋体" w:cs="宋体"/>
                <w:b/>
                <w:bCs/>
                <w:sz w:val="24"/>
              </w:rPr>
              <w:t>类别</w:t>
            </w:r>
          </w:p>
        </w:tc>
        <w:tc>
          <w:tcPr>
            <w:tcW w:w="2061" w:type="dxa"/>
            <w:shd w:val="clear" w:color="000000" w:fill="BFBFBF"/>
            <w:vAlign w:val="center"/>
          </w:tcPr>
          <w:p w14:paraId="3F4DC382">
            <w:pPr>
              <w:widowControl/>
              <w:jc w:val="center"/>
              <w:rPr>
                <w:rFonts w:ascii="宋体" w:hAnsi="宋体" w:cs="宋体"/>
                <w:b/>
                <w:bCs/>
                <w:kern w:val="0"/>
                <w:sz w:val="24"/>
              </w:rPr>
            </w:pPr>
            <w:r>
              <w:rPr>
                <w:rFonts w:hint="eastAsia" w:ascii="宋体" w:hAnsi="宋体" w:cs="宋体"/>
                <w:b/>
                <w:bCs/>
                <w:sz w:val="24"/>
              </w:rPr>
              <w:t>指标名称</w:t>
            </w:r>
          </w:p>
        </w:tc>
        <w:tc>
          <w:tcPr>
            <w:tcW w:w="1987" w:type="dxa"/>
            <w:shd w:val="clear" w:color="000000" w:fill="BFBFBF"/>
            <w:vAlign w:val="center"/>
          </w:tcPr>
          <w:p w14:paraId="5D2A2967">
            <w:pPr>
              <w:widowControl/>
              <w:jc w:val="center"/>
              <w:rPr>
                <w:rFonts w:ascii="宋体" w:hAnsi="宋体" w:cs="宋体"/>
                <w:b/>
                <w:bCs/>
                <w:kern w:val="0"/>
                <w:sz w:val="24"/>
              </w:rPr>
            </w:pPr>
            <w:r>
              <w:rPr>
                <w:rFonts w:hint="eastAsia" w:ascii="宋体" w:hAnsi="宋体" w:cs="宋体"/>
                <w:b/>
                <w:bCs/>
                <w:sz w:val="24"/>
              </w:rPr>
              <w:t>指标目标值</w:t>
            </w:r>
          </w:p>
        </w:tc>
        <w:tc>
          <w:tcPr>
            <w:tcW w:w="1799" w:type="dxa"/>
            <w:shd w:val="clear" w:color="000000" w:fill="BFBFBF"/>
            <w:vAlign w:val="center"/>
          </w:tcPr>
          <w:p w14:paraId="700B5F42">
            <w:pPr>
              <w:widowControl/>
              <w:jc w:val="center"/>
              <w:rPr>
                <w:rFonts w:ascii="宋体" w:hAnsi="宋体" w:cs="宋体"/>
                <w:b/>
                <w:bCs/>
                <w:kern w:val="0"/>
                <w:sz w:val="24"/>
              </w:rPr>
            </w:pPr>
            <w:r>
              <w:rPr>
                <w:rFonts w:hint="eastAsia" w:ascii="宋体" w:hAnsi="宋体" w:cs="宋体"/>
                <w:b/>
                <w:bCs/>
                <w:sz w:val="24"/>
              </w:rPr>
              <w:t>指标完成值</w:t>
            </w:r>
          </w:p>
        </w:tc>
        <w:tc>
          <w:tcPr>
            <w:tcW w:w="1866" w:type="dxa"/>
            <w:shd w:val="clear" w:color="000000" w:fill="BFBFBF"/>
            <w:vAlign w:val="center"/>
          </w:tcPr>
          <w:p w14:paraId="3082178C">
            <w:pPr>
              <w:widowControl/>
              <w:jc w:val="center"/>
              <w:rPr>
                <w:rFonts w:ascii="宋体" w:hAnsi="宋体" w:cs="宋体"/>
                <w:b/>
                <w:bCs/>
                <w:kern w:val="0"/>
                <w:sz w:val="24"/>
              </w:rPr>
            </w:pPr>
            <w:r>
              <w:rPr>
                <w:rFonts w:hint="eastAsia" w:ascii="宋体" w:hAnsi="宋体" w:cs="宋体"/>
                <w:b/>
                <w:bCs/>
                <w:sz w:val="24"/>
              </w:rPr>
              <w:t>完成值来源</w:t>
            </w:r>
          </w:p>
        </w:tc>
        <w:tc>
          <w:tcPr>
            <w:tcW w:w="1787" w:type="dxa"/>
            <w:shd w:val="clear" w:color="000000" w:fill="BFBFBF"/>
            <w:vAlign w:val="center"/>
          </w:tcPr>
          <w:p w14:paraId="49382FB0">
            <w:pPr>
              <w:widowControl/>
              <w:jc w:val="center"/>
              <w:rPr>
                <w:rFonts w:ascii="宋体" w:hAnsi="宋体" w:cs="宋体"/>
                <w:b/>
                <w:bCs/>
                <w:sz w:val="24"/>
              </w:rPr>
            </w:pPr>
            <w:r>
              <w:rPr>
                <w:rFonts w:hint="eastAsia" w:ascii="宋体" w:hAnsi="宋体" w:cs="宋体"/>
                <w:b/>
                <w:bCs/>
                <w:sz w:val="24"/>
              </w:rPr>
              <w:t>偏差情况</w:t>
            </w:r>
          </w:p>
        </w:tc>
        <w:tc>
          <w:tcPr>
            <w:tcW w:w="1071" w:type="dxa"/>
            <w:shd w:val="clear" w:color="000000" w:fill="BFBFBF"/>
          </w:tcPr>
          <w:p w14:paraId="6998F3EA">
            <w:pPr>
              <w:widowControl/>
              <w:jc w:val="center"/>
              <w:rPr>
                <w:rFonts w:ascii="黑体" w:hAnsi="黑体" w:eastAsia="黑体"/>
                <w:sz w:val="30"/>
              </w:rPr>
            </w:pPr>
            <w:r>
              <w:rPr>
                <w:rFonts w:hint="eastAsia" w:ascii="宋体" w:hAnsi="宋体" w:cs="宋体"/>
                <w:b/>
                <w:bCs/>
                <w:sz w:val="24"/>
              </w:rPr>
              <w:t>原因分析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分解目标</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决策</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中长期规划制定健全性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部门十四五规划</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工作计划制定健全性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苏州市红十字会2025年工作重点</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绩效指标明确性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部门预算公开</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绩效目标合理性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部门预算公开</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部门预算公开</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预算编制科学性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部门预算公开</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过程</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基础信息完善性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部门预算公开</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绩效管理覆盖率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部门预算公开</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非税收入管理合规性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部门预算公开</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预决算信息公开度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部门预算公开</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部门预算公开</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资金使用合规性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部门预算公开</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苏州市红十字会财务管理办法、内部控制制度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固定资产利用率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资产云平台</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部门预算公开</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项目管理制度执行规范性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苏州市红十字会财务管理办法、内部控制制度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苏州市红十字会财务管理办法、内部控制制度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人员管理制度执行有效性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苏州市红十字会财务管理办法、内部控制制度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在职人员控制率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苏州市红十字会财务管理办法、内部控制制度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苏州市红十字会财务管理办法、内部控制制度</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纪检监察工作有效性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组织建设工作及时完成率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业务学习与培训及时完成率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预算偏差率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9.07%</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-9.30%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96.8%</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-3.20%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预算调整率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-6.48%</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政府采购执行率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非税收入预算完成率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支付进度符合率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“三公经费”变动率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公用经费控制率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结转结余率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3.18%</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效益</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有力推动社会公众救护知识、技能普及</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较好</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较好</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增强红会三救三献业务工作能力，保障红十字事业持续健康发展</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持续健康发展</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持续健康发展</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满意度</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公益性救护培训人员满意度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&gt;=90%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造血干细胞捐献服务满意度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&gt;=90%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11.11%</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履职</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维护微信公众号</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=1个</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1个</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开展无偿献血宣传项目</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=1个</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1个</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红十字应急救援队训练</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=2次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开展普及培训</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&gt;=9000人次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9150人次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1.67%</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培训初级救护员</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&gt;=5000人次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5025人次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0.50%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扶持博爱青春项目</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=10个</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10个</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开展骨髓捐献者日志愿者相关活动</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2025年度工作总结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bl>
    <w:p w14:paraId="7B5F5F05">
      <w:pPr>
        <w:spacing w:line="360" w:lineRule="auto"/>
        <w:ind w:left="600"/>
        <w:rPr>
          <w:rFonts w:ascii="黑体" w:hAnsi="黑体" w:eastAsia="黑体"/>
          <w:sz w:val="30"/>
        </w:rPr>
      </w:pPr>
    </w:p>
    <w:sectPr>
      <w:headerReference r:id="rId7" w:type="default"/>
      <w:footerReference r:id="rId8" w:type="default"/>
      <w:pgSz w:w="16840" w:h="11907" w:orient="landscape"/>
      <w:pgMar w:top="1559" w:right="1247" w:bottom="1400" w:left="1089"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2381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0C328767">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7DEFE">
    <w:pPr>
      <w:pStyle w:val="3"/>
      <w:framePr w:wrap="around" w:vAnchor="text" w:hAnchor="margin" w:xAlign="center" w:y="1"/>
      <w:rPr>
        <w:rStyle w:val="8"/>
      </w:rPr>
    </w:pPr>
    <w:r>
      <w:fldChar w:fldCharType="begin"/>
    </w:r>
    <w:r>
      <w:rPr>
        <w:rStyle w:val="8"/>
      </w:rPr>
      <w:instrText xml:space="preserve">PAGE  </w:instrText>
    </w:r>
    <w:r>
      <w:fldChar w:fldCharType="end"/>
    </w:r>
  </w:p>
  <w:p w14:paraId="094E44E9">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66061">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14:paraId="52662FC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75BC">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57BC6">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2CE92">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7BB9F1"/>
    <w:multiLevelType w:val="singleLevel"/>
    <w:tmpl w:val="5D7BB9F1"/>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2B36787"/>
    <w:rsid w:val="231125AC"/>
    <w:rsid w:val="24077BFF"/>
    <w:rsid w:val="26A5092E"/>
    <w:rsid w:val="28260401"/>
    <w:rsid w:val="2B110340"/>
    <w:rsid w:val="2CF51D47"/>
    <w:rsid w:val="2F640DE8"/>
    <w:rsid w:val="31190CC6"/>
    <w:rsid w:val="33FD7752"/>
    <w:rsid w:val="37922635"/>
    <w:rsid w:val="379540A7"/>
    <w:rsid w:val="3989156E"/>
    <w:rsid w:val="3A15477F"/>
    <w:rsid w:val="3A242466"/>
    <w:rsid w:val="3C47334E"/>
    <w:rsid w:val="3CB26D1E"/>
    <w:rsid w:val="3EF07F7A"/>
    <w:rsid w:val="43ED3C40"/>
    <w:rsid w:val="495323ED"/>
    <w:rsid w:val="4AF3601A"/>
    <w:rsid w:val="4BA315C9"/>
    <w:rsid w:val="4CC6446A"/>
    <w:rsid w:val="4E7B4170"/>
    <w:rsid w:val="544D740E"/>
    <w:rsid w:val="55AE0FCF"/>
    <w:rsid w:val="58FE18D5"/>
    <w:rsid w:val="594914BB"/>
    <w:rsid w:val="5CA82CD1"/>
    <w:rsid w:val="5FCE09A6"/>
    <w:rsid w:val="60ED5F11"/>
    <w:rsid w:val="64122457"/>
    <w:rsid w:val="646426D5"/>
    <w:rsid w:val="64BC4F31"/>
    <w:rsid w:val="64C3416F"/>
    <w:rsid w:val="6624577F"/>
    <w:rsid w:val="67161F83"/>
    <w:rsid w:val="68817BAC"/>
    <w:rsid w:val="68DB6F84"/>
    <w:rsid w:val="6A1706CF"/>
    <w:rsid w:val="6A563FBC"/>
    <w:rsid w:val="6A7E3167"/>
    <w:rsid w:val="6D873407"/>
    <w:rsid w:val="6DA24319"/>
    <w:rsid w:val="6EA81B75"/>
    <w:rsid w:val="6FE35A27"/>
    <w:rsid w:val="72167982"/>
    <w:rsid w:val="739B783A"/>
    <w:rsid w:val="75536D10"/>
    <w:rsid w:val="75B30C82"/>
    <w:rsid w:val="76B57CE1"/>
    <w:rsid w:val="770E7892"/>
    <w:rsid w:val="77980A6E"/>
    <w:rsid w:val="77F71564"/>
    <w:rsid w:val="792A54A4"/>
    <w:rsid w:val="79F15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已访问的超链接1"/>
    <w:qFormat/>
    <w:uiPriority w:val="0"/>
    <w:rPr>
      <w:color w:val="800080"/>
      <w:u w:val="single"/>
    </w:rPr>
  </w:style>
  <w:style w:type="character" w:customStyle="1" w:styleId="11">
    <w:name w:val="页眉 Char"/>
    <w:link w:val="4"/>
    <w:qFormat/>
    <w:uiPriority w:val="0"/>
    <w:rPr>
      <w:kern w:val="2"/>
      <w:sz w:val="18"/>
      <w:szCs w:val="18"/>
    </w:rPr>
  </w:style>
  <w:style w:type="character" w:customStyle="1" w:styleId="12">
    <w:name w:val="页脚 Char"/>
    <w:link w:val="3"/>
    <w:qFormat/>
    <w:uiPriority w:val="0"/>
    <w:rPr>
      <w:kern w:val="2"/>
      <w:sz w:val="18"/>
      <w:szCs w:val="18"/>
    </w:rPr>
  </w:style>
  <w:style w:type="paragraph" w:customStyle="1" w:styleId="13">
    <w:name w:val="目录 21"/>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customStyle="1" w:styleId="14">
    <w:name w:val="目录 1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customStyle="1" w:styleId="15">
    <w:name w:val="Char Char Char Char Char Char Char"/>
    <w:basedOn w:val="1"/>
    <w:qFormat/>
    <w:uiPriority w:val="0"/>
    <w:rPr>
      <w:szCs w:val="21"/>
    </w:rPr>
  </w:style>
  <w:style w:type="paragraph" w:customStyle="1" w:styleId="16">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
<Relationship Id="rId1" Target="styles.xml" Type="http://schemas.openxmlformats.org/officeDocument/2006/relationships/styles"/>
<Relationship Id="rId10" Target="numbering.xml" Type="http://schemas.openxmlformats.org/officeDocument/2006/relationships/numbering"/>
<Relationship Id="rId11" Target="fontTable.xml" Type="http://schemas.openxmlformats.org/officeDocument/2006/relationships/fontTable"/>
<Relationship Id="rId2" Target="settings.xml" Type="http://schemas.openxmlformats.org/officeDocument/2006/relationships/settings"/>
<Relationship Id="rId3" Target="header1.xml" Type="http://schemas.openxmlformats.org/officeDocument/2006/relationships/header"/>
<Relationship Id="rId4" Target="header2.xml" Type="http://schemas.openxmlformats.org/officeDocument/2006/relationships/header"/>
<Relationship Id="rId5" Target="footer1.xml" Type="http://schemas.openxmlformats.org/officeDocument/2006/relationships/footer"/>
<Relationship Id="rId6" Target="footer2.xml" Type="http://schemas.openxmlformats.org/officeDocument/2006/relationships/footer"/>
<Relationship Id="rId7" Target="header3.xml" Type="http://schemas.openxmlformats.org/officeDocument/2006/relationships/header"/>
<Relationship Id="rId8" Target="footer3.xml" Type="http://schemas.openxmlformats.org/officeDocument/2006/relationships/footer"/>
<Relationship Id="rId9"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czj</Company>
  <Pages>3</Pages>
  <Words>270</Words>
  <Characters>780</Characters>
  <Lines>6</Lines>
  <Paragraphs>1</Paragraphs>
  <TotalTime>5</TotalTime>
  <ScaleCrop>false</ScaleCrop>
  <LinksUpToDate>false</LinksUpToDate>
  <CharactersWithSpaces>780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2020-12-31T06:58:00Z</dcterms:created>
  <dc:creator>傅海英</dc:creator>
  <cp:lastModifiedBy>木木三</cp:lastModifiedBy>
  <cp:lastPrinted>2019-06-21T02:10:00Z</cp:lastPrinted>
  <dcterms:modified xsi:type="dcterms:W3CDTF">2026-02-27T08:35:46Z</dcterms:modified>
  <cp:revision>7</cp:revision>
  <dc:title>关于进行本市部门整体支出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739EEDB2ECE141DEAF0C3D87D58590AD_13</vt:lpwstr>
  </property>
  <property fmtid="{D5CDD505-2E9C-101B-9397-08002B2CF9AE}" pid="4" name="KSOTemplateDocerSaveRecord">
    <vt:lpwstr>eyJoZGlkIjoiMmVmMTQ4NTZkNTIwMmU5ZDBhYTZhYjI1NWVjNGI1Y2IiLCJ1c2VySWQiOiIyMjg1MzQ1OTUifQ==</vt:lpwstr>
  </property>
</Properties>
</file>