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信息化维护费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苏州市红十字会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8.18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8.18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8.18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7.51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.67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0.67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8.18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信息化维护费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8.18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91.86%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4.74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日常维护单位电脑数量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=60台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60台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信息系统故障修复响应时间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&lt;=24小时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24小时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对单位履职、促进事业发展的影响或提升程度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服务对象满意度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68.74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对市红会已有的信息化系统进行运维保障。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提升市红十字会信息化水平，维护市红十字会网络安全。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提升市红十字会信息化水平，维护市红十字会网络安全。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明确项目目标和需求，制定项目计划和设计方案，做好电子政务项目申报、评审、预算编制。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1.项目能够按照预定的计划和进度进行，不存在延误或者提前完成的情况
</w:t>
              <w:br/>
              <w:t>2.项目的实际成本与预算成本之间不存在差异。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预算由市信息中心统一管理，存在重复申报的情况。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完善预算管理，项目申报时加强与信息中心的沟通联系，做好风险监控。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