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142.98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-20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122.98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122.98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122.95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122.98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122.95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其他培训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.83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0.05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红十字干部培训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9.25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8.21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红十字应急救护培训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112.9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114.69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99.98%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7.99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培训项目数量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培训标准符合规定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符合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&lt;=7天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7天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对单位履职、促进事业发展的持续影响程度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71.99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用于组织开展红十字会专兼职干部教育培训、红十字应急救护培训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开展红十字系统干部能力培训班1次；\r\n组织红十字应急救护培训。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开展红十字系统干部能力培训班1次；\r\n组织红十字应急救护培训。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1.组织5名公益性岗位人员开展继续教育培训2.组织开展红十字系统专兼职干部能力培训班3.组织开展收费性红十字应急救护培训。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1.通过组织干部培训，提高了红十字会工作人员的实践能力、综合素质、工作水平。2.培训期间严格考勤制度，保证了参训人员的培训效果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年初未按期开展培训，培训预期收入未达预算目标，调减预算。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1.增加培训经费，扩大培训影响范围；2.分批次组织脱产培训，保障单位工作正常开展；3.厉行勤俭节约，尽量选择省内城市开展培训。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